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spacing w:val="0"/>
          <w:sz w:val="44"/>
          <w:szCs w:val="44"/>
          <w:lang w:val="en" w:eastAsia="zh-CN"/>
        </w:rPr>
      </w:pPr>
      <w:bookmarkStart w:id="0" w:name="_GoBack"/>
      <w:bookmarkEnd w:id="0"/>
      <w:r>
        <w:rPr>
          <w:rFonts w:hint="default" w:ascii="Times New Roman" w:hAnsi="Times New Roman" w:eastAsia="方正小标宋简体" w:cs="Times New Roman"/>
          <w:spacing w:val="0"/>
          <w:sz w:val="44"/>
          <w:szCs w:val="44"/>
          <w:lang w:eastAsia="zh-CN"/>
        </w:rPr>
        <w:t>利通区关于进一步促进就业创业工作措施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0"/>
          <w:sz w:val="32"/>
          <w:szCs w:val="32"/>
          <w:lang w:eastAsia="zh-CN"/>
        </w:rPr>
        <w:t>为</w:t>
      </w:r>
      <w:r>
        <w:rPr>
          <w:rFonts w:hint="default" w:ascii="Times New Roman" w:hAnsi="Times New Roman" w:eastAsia="仿宋_GB2312" w:cs="Times New Roman"/>
          <w:spacing w:val="0"/>
          <w:sz w:val="32"/>
          <w:szCs w:val="32"/>
          <w:lang w:val="en-US" w:eastAsia="zh-CN"/>
        </w:rPr>
        <w:t>进一步做好当前和今后一个时期就业创业工作，确保“十四五”规划就业创业目标任务全面完成，保持全区就业局势总体稳定，实现更加充分更高质量就业目标，切实促进城乡居民收入提升。根据《自治区人民政府办公厅关于支持多渠道灵活就</w:t>
      </w:r>
      <w:r>
        <w:rPr>
          <w:rFonts w:hint="default" w:ascii="Times New Roman" w:hAnsi="Times New Roman" w:eastAsia="仿宋_GB2312" w:cs="Times New Roman"/>
          <w:spacing w:val="-6"/>
          <w:sz w:val="32"/>
          <w:szCs w:val="32"/>
          <w:lang w:val="en-US" w:eastAsia="zh-CN"/>
        </w:rPr>
        <w:t>业的实施意见》等文件精神，结合我区实际，制定如下政策措施。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zh-CN"/>
        </w:rPr>
        <w:t>一、鼓励创业带动就业。</w:t>
      </w:r>
      <w:r>
        <w:rPr>
          <w:rFonts w:hint="default" w:ascii="Times New Roman" w:hAnsi="Times New Roman" w:eastAsia="仿宋_GB2312" w:cs="Times New Roman"/>
          <w:color w:val="000000"/>
          <w:spacing w:val="0"/>
          <w:sz w:val="32"/>
          <w:szCs w:val="32"/>
        </w:rPr>
        <w:t>对失业人员、高校毕业生、农民工、就业困难人员等重点群体从事个体经营的，可申请创业担保贷款、税收优惠、创业补贴等政策支持。对符合条件的创业个人、小微企业，分别最高可申请30万元、300万元的创业担保贷款。</w:t>
      </w:r>
      <w:r>
        <w:rPr>
          <w:rFonts w:hint="default" w:ascii="Times New Roman" w:hAnsi="Times New Roman" w:eastAsia="仿宋_GB2312" w:cs="Times New Roman"/>
          <w:spacing w:val="0"/>
          <w:sz w:val="32"/>
          <w:szCs w:val="32"/>
        </w:rPr>
        <w:t>对</w:t>
      </w:r>
      <w:r>
        <w:rPr>
          <w:rFonts w:hint="default" w:ascii="Times New Roman" w:hAnsi="Times New Roman" w:eastAsia="仿宋_GB2312" w:cs="Times New Roman"/>
          <w:spacing w:val="0"/>
          <w:sz w:val="32"/>
          <w:szCs w:val="32"/>
          <w:lang w:eastAsia="zh-CN"/>
        </w:rPr>
        <w:t>利通区籍</w:t>
      </w:r>
      <w:r>
        <w:rPr>
          <w:rFonts w:hint="default" w:ascii="Times New Roman" w:hAnsi="Times New Roman" w:eastAsia="仿宋_GB2312" w:cs="Times New Roman"/>
          <w:spacing w:val="0"/>
          <w:sz w:val="32"/>
          <w:szCs w:val="32"/>
        </w:rPr>
        <w:t>残疾人、被征地农民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农村返乡创业人员、</w:t>
      </w:r>
      <w:r>
        <w:rPr>
          <w:rFonts w:hint="default" w:ascii="Times New Roman" w:hAnsi="Times New Roman" w:eastAsia="仿宋_GB2312" w:cs="Times New Roman"/>
          <w:spacing w:val="0"/>
          <w:sz w:val="32"/>
          <w:szCs w:val="32"/>
          <w:lang w:eastAsia="zh-CN"/>
        </w:rPr>
        <w:t>“五类人员”（脱贫人员、农村低收入人口、搬迁群众、低保边缘人口、监测对象户）、</w:t>
      </w:r>
      <w:r>
        <w:rPr>
          <w:rFonts w:hint="default" w:ascii="Times New Roman" w:hAnsi="Times New Roman" w:eastAsia="仿宋_GB2312" w:cs="Times New Roman"/>
          <w:spacing w:val="0"/>
          <w:sz w:val="32"/>
          <w:szCs w:val="32"/>
        </w:rPr>
        <w:t>2018年以后退役军人以及毕业3年内未就业高校毕业生返乡</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首次创办实体</w:t>
      </w:r>
      <w:r>
        <w:rPr>
          <w:rFonts w:hint="default" w:ascii="Times New Roman" w:hAnsi="Times New Roman" w:eastAsia="仿宋_GB2312" w:cs="Times New Roman"/>
          <w:spacing w:val="0"/>
          <w:sz w:val="32"/>
          <w:szCs w:val="32"/>
          <w:lang w:val="zh-CN"/>
        </w:rPr>
        <w:t>经营</w:t>
      </w:r>
      <w:r>
        <w:rPr>
          <w:rFonts w:hint="default" w:ascii="Times New Roman" w:hAnsi="Times New Roman" w:eastAsia="仿宋_GB2312" w:cs="Times New Roman"/>
          <w:spacing w:val="0"/>
          <w:sz w:val="32"/>
          <w:szCs w:val="32"/>
        </w:rPr>
        <w:t>的，自工商登记注册之日起连续正常经营1年以上且带动就业1人以上，给予1万元一次性创业补助。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区发展和改革局、工业信息化和商务局</w:t>
      </w:r>
      <w:r>
        <w:rPr>
          <w:rFonts w:hint="default" w:ascii="Times New Roman" w:hAnsi="Times New Roman" w:eastAsia="仿宋_GB2312" w:cs="Times New Roman"/>
          <w:color w:val="000000"/>
          <w:spacing w:val="0"/>
          <w:sz w:val="32"/>
          <w:szCs w:val="32"/>
          <w:lang w:eastAsia="zh-CN"/>
        </w:rPr>
        <w:t>、民政局、</w:t>
      </w:r>
      <w:r>
        <w:rPr>
          <w:rFonts w:hint="default" w:ascii="Times New Roman" w:hAnsi="Times New Roman" w:eastAsia="仿宋_GB2312" w:cs="Times New Roman"/>
          <w:color w:val="000000"/>
          <w:spacing w:val="0"/>
          <w:sz w:val="32"/>
          <w:szCs w:val="32"/>
        </w:rPr>
        <w:t>财政局、人力资源和社会保障局、</w:t>
      </w:r>
      <w:r>
        <w:rPr>
          <w:rFonts w:hint="default" w:ascii="Times New Roman" w:hAnsi="Times New Roman" w:eastAsia="仿宋_GB2312" w:cs="Times New Roman"/>
          <w:color w:val="000000"/>
          <w:spacing w:val="0"/>
          <w:sz w:val="32"/>
          <w:szCs w:val="32"/>
          <w:lang w:eastAsia="zh-CN"/>
        </w:rPr>
        <w:t>农业农村局（乡村振兴局）、退役军人事务局、残联、团区委、</w:t>
      </w:r>
      <w:r>
        <w:rPr>
          <w:rFonts w:hint="default" w:ascii="Times New Roman" w:hAnsi="Times New Roman" w:eastAsia="仿宋_GB2312" w:cs="Times New Roman"/>
          <w:color w:val="000000"/>
          <w:spacing w:val="0"/>
          <w:sz w:val="32"/>
          <w:szCs w:val="32"/>
        </w:rPr>
        <w:t>税务局、市场监督管理局利通区分局，各乡镇人民政府</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融利融资担保有限公司。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zh-CN"/>
        </w:rPr>
        <w:t>二、提供低成本便利化场地支持。</w:t>
      </w:r>
      <w:r>
        <w:rPr>
          <w:rFonts w:hint="default" w:ascii="Times New Roman" w:hAnsi="Times New Roman" w:eastAsia="仿宋_GB2312" w:cs="Times New Roman"/>
          <w:spacing w:val="0"/>
          <w:sz w:val="32"/>
          <w:szCs w:val="32"/>
        </w:rPr>
        <w:t>对利通区籍残疾人、2018年以后退役军人、被征地农民</w:t>
      </w:r>
      <w:r>
        <w:rPr>
          <w:rFonts w:hint="default" w:ascii="Times New Roman" w:hAnsi="Times New Roman" w:eastAsia="仿宋_GB2312" w:cs="Times New Roman"/>
          <w:spacing w:val="0"/>
          <w:sz w:val="32"/>
          <w:szCs w:val="32"/>
          <w:lang w:eastAsia="zh-CN"/>
        </w:rPr>
        <w:t>、毕业</w:t>
      </w:r>
      <w:r>
        <w:rPr>
          <w:rFonts w:hint="default" w:ascii="Times New Roman" w:hAnsi="Times New Roman" w:eastAsia="仿宋_GB2312" w:cs="Times New Roman"/>
          <w:spacing w:val="0"/>
          <w:sz w:val="32"/>
          <w:szCs w:val="32"/>
          <w:lang w:val="en-US" w:eastAsia="zh-CN"/>
        </w:rPr>
        <w:t>5年之内高校毕业生、</w:t>
      </w:r>
      <w:r>
        <w:rPr>
          <w:rFonts w:hint="default" w:ascii="Times New Roman" w:hAnsi="Times New Roman" w:eastAsia="仿宋_GB2312" w:cs="Times New Roman"/>
          <w:spacing w:val="0"/>
          <w:sz w:val="32"/>
          <w:szCs w:val="32"/>
          <w:lang w:eastAsia="zh-CN"/>
        </w:rPr>
        <w:t>“五类人员”（脱贫人员、农村低收入人口、搬迁群众、低保边缘人口、监测对象户），</w:t>
      </w:r>
      <w:r>
        <w:rPr>
          <w:rFonts w:hint="default" w:ascii="Times New Roman" w:hAnsi="Times New Roman" w:eastAsia="仿宋_GB2312" w:cs="Times New Roman"/>
          <w:spacing w:val="0"/>
          <w:sz w:val="32"/>
          <w:szCs w:val="32"/>
        </w:rPr>
        <w:t>首次创办实体</w:t>
      </w:r>
      <w:r>
        <w:rPr>
          <w:rFonts w:hint="default" w:ascii="Times New Roman" w:hAnsi="Times New Roman" w:eastAsia="仿宋_GB2312" w:cs="Times New Roman"/>
          <w:spacing w:val="0"/>
          <w:sz w:val="32"/>
          <w:szCs w:val="32"/>
          <w:lang w:val="zh-CN"/>
        </w:rPr>
        <w:t>经营的</w:t>
      </w:r>
      <w:r>
        <w:rPr>
          <w:rFonts w:hint="default" w:ascii="Times New Roman" w:hAnsi="Times New Roman" w:eastAsia="仿宋_GB2312" w:cs="Times New Roman"/>
          <w:spacing w:val="0"/>
          <w:sz w:val="32"/>
          <w:szCs w:val="32"/>
        </w:rPr>
        <w:t>，正常经营一年以上并带动就业1人以上，且租用辖区内经营场所或店铺的，一次性给予房租补贴。补贴标准为租赁场地面积100平方米</w:t>
      </w:r>
      <w:r>
        <w:rPr>
          <w:rFonts w:hint="default" w:ascii="Times New Roman" w:hAnsi="Times New Roman" w:eastAsia="仿宋_GB2312" w:cs="Times New Roman"/>
          <w:spacing w:val="0"/>
          <w:sz w:val="32"/>
          <w:szCs w:val="32"/>
          <w:lang w:eastAsia="zh-CN"/>
        </w:rPr>
        <w:t>及</w:t>
      </w:r>
      <w:r>
        <w:rPr>
          <w:rFonts w:hint="default" w:ascii="Times New Roman" w:hAnsi="Times New Roman" w:eastAsia="仿宋_GB2312" w:cs="Times New Roman"/>
          <w:spacing w:val="0"/>
          <w:sz w:val="32"/>
          <w:szCs w:val="32"/>
        </w:rPr>
        <w:t>以下的每个实体3000元；100平方米以上的每个实体5000元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实际房租低于上述标准的据实补贴。</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spacing w:val="0"/>
          <w:sz w:val="32"/>
          <w:szCs w:val="32"/>
          <w:lang w:val="zh-CN"/>
        </w:rPr>
        <w:t>区</w:t>
      </w:r>
      <w:r>
        <w:rPr>
          <w:rFonts w:hint="default" w:ascii="Times New Roman" w:hAnsi="Times New Roman" w:eastAsia="仿宋_GB2312" w:cs="Times New Roman"/>
          <w:color w:val="000000"/>
          <w:spacing w:val="0"/>
          <w:sz w:val="32"/>
          <w:szCs w:val="32"/>
        </w:rPr>
        <w:t>民政局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财政局、人力资源和社会保障局、</w:t>
      </w:r>
      <w:r>
        <w:rPr>
          <w:rFonts w:hint="default" w:ascii="Times New Roman" w:hAnsi="Times New Roman" w:eastAsia="仿宋_GB2312" w:cs="Times New Roman"/>
          <w:color w:val="000000"/>
          <w:spacing w:val="0"/>
          <w:sz w:val="32"/>
          <w:szCs w:val="32"/>
          <w:lang w:eastAsia="zh-CN"/>
        </w:rPr>
        <w:t>农业农村局（乡村振兴局）、退役军人事务局、残联</w:t>
      </w:r>
      <w:r>
        <w:rPr>
          <w:rFonts w:hint="default" w:ascii="Times New Roman" w:hAnsi="Times New Roman" w:eastAsia="仿宋_GB2312" w:cs="Times New Roman"/>
          <w:color w:val="000000"/>
          <w:spacing w:val="0"/>
          <w:sz w:val="32"/>
          <w:szCs w:val="32"/>
        </w:rPr>
        <w:t>，各乡镇人民政府。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zh-CN" w:eastAsia="zh-CN"/>
        </w:rPr>
        <w:t>三、促进农村劳动力转移就业。</w:t>
      </w:r>
      <w:r>
        <w:rPr>
          <w:rFonts w:hint="default" w:ascii="Times New Roman" w:hAnsi="Times New Roman" w:eastAsia="仿宋_GB2312" w:cs="Times New Roman"/>
          <w:spacing w:val="0"/>
          <w:sz w:val="32"/>
          <w:szCs w:val="32"/>
          <w:lang w:eastAsia="zh-CN"/>
        </w:rPr>
        <w:t>发挥村级劳务工作服务站作用，鼓励劳务中介组织和劳务经纪人开展劳动力转移工作。</w:t>
      </w:r>
      <w:r>
        <w:rPr>
          <w:rFonts w:hint="default" w:ascii="Times New Roman" w:hAnsi="Times New Roman" w:eastAsia="仿宋_GB2312" w:cs="Times New Roman"/>
          <w:spacing w:val="0"/>
          <w:sz w:val="32"/>
          <w:szCs w:val="32"/>
          <w:lang w:val="en-US" w:eastAsia="zh-CN"/>
        </w:rPr>
        <w:t>劳务中介组织、劳务经纪人等组织利通区籍农村转移就业人员到用工单位就业3个月及以上的，凭用工单位出具的工资表或工资发放银行流水等电子凭证，给予劳务中介组织或经纪人200元/人就业创业服务补贴。劳务中介组织、劳务经纪人组织7个重点移民村、社区（</w:t>
      </w:r>
      <w:r>
        <w:rPr>
          <w:rFonts w:hint="default" w:ascii="Times New Roman" w:hAnsi="Times New Roman" w:eastAsia="仿宋_GB2312" w:cs="Times New Roman"/>
          <w:spacing w:val="0"/>
          <w:sz w:val="32"/>
          <w:szCs w:val="32"/>
          <w:lang w:val="zh-CN"/>
        </w:rPr>
        <w:t>同利村、利同新村、利原村、渔光湖村、蔡桥村、新民社区、金丰社区</w:t>
      </w:r>
      <w:r>
        <w:rPr>
          <w:rFonts w:hint="default" w:ascii="Times New Roman" w:hAnsi="Times New Roman" w:eastAsia="仿宋_GB2312" w:cs="Times New Roman"/>
          <w:spacing w:val="0"/>
          <w:sz w:val="32"/>
          <w:szCs w:val="32"/>
          <w:lang w:val="en-US" w:eastAsia="zh-CN"/>
        </w:rPr>
        <w:t>）及“十三五”劳务移民转移就业符合上述条件的，按照300元/人给予就业服务补贴。</w:t>
      </w:r>
    </w:p>
    <w:p>
      <w:pPr>
        <w:pStyle w:val="4"/>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w:t>
      </w:r>
      <w:r>
        <w:rPr>
          <w:rFonts w:hint="default" w:ascii="Times New Roman" w:hAnsi="Times New Roman" w:eastAsia="仿宋_GB2312" w:cs="Times New Roman"/>
          <w:color w:val="000000"/>
          <w:spacing w:val="0"/>
          <w:sz w:val="32"/>
          <w:szCs w:val="32"/>
          <w:lang w:eastAsia="zh-CN"/>
        </w:rPr>
        <w:t>、农业农村局（乡村振兴局）</w:t>
      </w:r>
      <w:r>
        <w:rPr>
          <w:rFonts w:hint="default" w:ascii="Times New Roman" w:hAnsi="Times New Roman" w:eastAsia="仿宋_GB2312" w:cs="Times New Roman"/>
          <w:color w:val="000000"/>
          <w:spacing w:val="0"/>
          <w:sz w:val="32"/>
          <w:szCs w:val="32"/>
        </w:rPr>
        <w:t>，各乡镇人民政府。</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zh-CN" w:eastAsia="zh-CN"/>
        </w:rPr>
        <w:t>四、实施灵活就业人员引导性技能培训。</w:t>
      </w:r>
      <w:r>
        <w:rPr>
          <w:rFonts w:hint="default" w:ascii="Times New Roman" w:hAnsi="Times New Roman" w:eastAsia="仿宋_GB2312" w:cs="Times New Roman"/>
          <w:spacing w:val="0"/>
          <w:sz w:val="32"/>
          <w:szCs w:val="32"/>
          <w:lang w:val="en-US" w:eastAsia="zh-CN"/>
        </w:rPr>
        <w:t>支</w:t>
      </w:r>
      <w:r>
        <w:rPr>
          <w:rFonts w:hint="default" w:ascii="Times New Roman" w:hAnsi="Times New Roman" w:eastAsia="仿宋_GB2312" w:cs="Times New Roman"/>
          <w:spacing w:val="0"/>
          <w:sz w:val="32"/>
          <w:szCs w:val="32"/>
        </w:rPr>
        <w:t>持各类院校、培训机构、互联网平台企业，围绕</w:t>
      </w:r>
      <w:r>
        <w:rPr>
          <w:rFonts w:hint="default" w:ascii="Times New Roman" w:hAnsi="Times New Roman" w:eastAsia="仿宋_GB2312" w:cs="Times New Roman"/>
          <w:spacing w:val="0"/>
          <w:sz w:val="32"/>
          <w:szCs w:val="32"/>
          <w:lang w:eastAsia="zh-CN"/>
        </w:rPr>
        <w:t>利通区</w:t>
      </w:r>
      <w:r>
        <w:rPr>
          <w:rFonts w:hint="default" w:ascii="Times New Roman" w:hAnsi="Times New Roman" w:eastAsia="仿宋_GB2312" w:cs="Times New Roman"/>
          <w:spacing w:val="0"/>
          <w:sz w:val="32"/>
          <w:szCs w:val="32"/>
        </w:rPr>
        <w:t>奶产业、绿色食品等</w:t>
      </w:r>
      <w:r>
        <w:rPr>
          <w:rFonts w:hint="default" w:ascii="Times New Roman" w:hAnsi="Times New Roman" w:eastAsia="仿宋_GB2312" w:cs="Times New Roman"/>
          <w:spacing w:val="0"/>
          <w:sz w:val="32"/>
          <w:szCs w:val="32"/>
          <w:lang w:eastAsia="zh-CN"/>
        </w:rPr>
        <w:t>十大</w:t>
      </w:r>
      <w:r>
        <w:rPr>
          <w:rFonts w:hint="default" w:ascii="Times New Roman" w:hAnsi="Times New Roman" w:eastAsia="仿宋_GB2312" w:cs="Times New Roman"/>
          <w:spacing w:val="0"/>
          <w:sz w:val="32"/>
          <w:szCs w:val="32"/>
        </w:rPr>
        <w:t>重点特色产业</w:t>
      </w:r>
      <w:r>
        <w:rPr>
          <w:rFonts w:hint="default" w:ascii="Times New Roman" w:hAnsi="Times New Roman" w:eastAsia="仿宋_GB2312" w:cs="Times New Roman"/>
          <w:spacing w:val="0"/>
          <w:sz w:val="32"/>
          <w:szCs w:val="32"/>
          <w:lang w:eastAsia="zh-CN"/>
        </w:rPr>
        <w:t>开展</w:t>
      </w:r>
      <w:r>
        <w:rPr>
          <w:rFonts w:hint="default" w:ascii="Times New Roman" w:hAnsi="Times New Roman" w:eastAsia="仿宋_GB2312" w:cs="Times New Roman"/>
          <w:spacing w:val="0"/>
          <w:sz w:val="32"/>
          <w:szCs w:val="32"/>
        </w:rPr>
        <w:t>技能培训。对</w:t>
      </w:r>
      <w:r>
        <w:rPr>
          <w:rFonts w:hint="default" w:ascii="Times New Roman" w:hAnsi="Times New Roman" w:eastAsia="仿宋_GB2312" w:cs="Times New Roman"/>
          <w:spacing w:val="0"/>
          <w:sz w:val="32"/>
          <w:szCs w:val="32"/>
          <w:lang w:eastAsia="zh-CN"/>
        </w:rPr>
        <w:t>有培训愿望和就业需求但无法参加职业技能培训或者专项能力培训的劳动者</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鼓励其参加短期就业技能培训，可</w:t>
      </w:r>
      <w:r>
        <w:rPr>
          <w:rFonts w:hint="default" w:ascii="Times New Roman" w:hAnsi="Times New Roman" w:eastAsia="仿宋_GB2312" w:cs="Times New Roman"/>
          <w:spacing w:val="0"/>
          <w:sz w:val="32"/>
          <w:szCs w:val="32"/>
        </w:rPr>
        <w:t>根据实际适当放宽培训年龄</w:t>
      </w:r>
      <w:r>
        <w:rPr>
          <w:rFonts w:hint="default" w:ascii="Times New Roman" w:hAnsi="Times New Roman" w:eastAsia="仿宋_GB2312" w:cs="Times New Roman"/>
          <w:spacing w:val="0"/>
          <w:sz w:val="32"/>
          <w:szCs w:val="32"/>
          <w:lang w:eastAsia="zh-CN"/>
        </w:rPr>
        <w:t>。按照</w:t>
      </w:r>
      <w:r>
        <w:rPr>
          <w:rFonts w:hint="default" w:ascii="Times New Roman" w:hAnsi="Times New Roman" w:eastAsia="仿宋_GB2312" w:cs="Times New Roman"/>
          <w:spacing w:val="0"/>
          <w:sz w:val="32"/>
          <w:szCs w:val="32"/>
          <w:lang w:val="zh-CN"/>
        </w:rPr>
        <w:t>每期</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zh-CN"/>
        </w:rPr>
        <w:t>-</w:t>
      </w: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zh-CN"/>
        </w:rPr>
        <w:t>天，人数</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zh-CN"/>
        </w:rPr>
        <w:t>0人以上（含</w:t>
      </w:r>
      <w:r>
        <w:rPr>
          <w:rFonts w:hint="default" w:ascii="Times New Roman" w:hAnsi="Times New Roman" w:eastAsia="仿宋_GB2312" w:cs="Times New Roman"/>
          <w:spacing w:val="0"/>
          <w:sz w:val="32"/>
          <w:szCs w:val="32"/>
          <w:lang w:val="en-US" w:eastAsia="zh-CN"/>
        </w:rPr>
        <w:t>10人</w:t>
      </w:r>
      <w:r>
        <w:rPr>
          <w:rFonts w:hint="default" w:ascii="Times New Roman" w:hAnsi="Times New Roman" w:eastAsia="仿宋_GB2312" w:cs="Times New Roman"/>
          <w:spacing w:val="0"/>
          <w:sz w:val="32"/>
          <w:szCs w:val="32"/>
          <w:lang w:val="zh-CN"/>
        </w:rPr>
        <w:t>）</w:t>
      </w:r>
      <w:r>
        <w:rPr>
          <w:rFonts w:hint="default" w:ascii="Times New Roman" w:hAnsi="Times New Roman" w:eastAsia="仿宋_GB2312" w:cs="Times New Roman"/>
          <w:spacing w:val="0"/>
          <w:sz w:val="32"/>
          <w:szCs w:val="32"/>
          <w:lang w:val="en-US" w:eastAsia="zh-CN"/>
        </w:rPr>
        <w:t>20人以下的、20人以上（含20人）的</w:t>
      </w:r>
      <w:r>
        <w:rPr>
          <w:rFonts w:hint="default" w:ascii="Times New Roman" w:hAnsi="Times New Roman" w:eastAsia="仿宋_GB2312" w:cs="Times New Roman"/>
          <w:spacing w:val="0"/>
          <w:sz w:val="32"/>
          <w:szCs w:val="32"/>
          <w:lang w:val="zh-CN"/>
        </w:rPr>
        <w:t>，培训后分别给予实施培训企业或社会组织每天</w:t>
      </w:r>
      <w:r>
        <w:rPr>
          <w:rFonts w:hint="default" w:ascii="Times New Roman" w:hAnsi="Times New Roman" w:eastAsia="仿宋_GB2312" w:cs="Times New Roman"/>
          <w:spacing w:val="0"/>
          <w:sz w:val="32"/>
          <w:szCs w:val="32"/>
          <w:lang w:val="en-US" w:eastAsia="zh-CN"/>
        </w:rPr>
        <w:t>500、</w:t>
      </w:r>
      <w:r>
        <w:rPr>
          <w:rFonts w:hint="default" w:ascii="Times New Roman" w:hAnsi="Times New Roman" w:eastAsia="仿宋_GB2312" w:cs="Times New Roman"/>
          <w:spacing w:val="0"/>
          <w:sz w:val="32"/>
          <w:szCs w:val="32"/>
          <w:lang w:val="zh-CN"/>
        </w:rPr>
        <w:t>1000元培训补贴。对</w:t>
      </w:r>
      <w:r>
        <w:rPr>
          <w:rFonts w:hint="default" w:ascii="Times New Roman" w:hAnsi="Times New Roman" w:eastAsia="仿宋_GB2312" w:cs="Times New Roman"/>
          <w:spacing w:val="0"/>
          <w:sz w:val="32"/>
          <w:szCs w:val="32"/>
          <w:lang w:val="en-US" w:eastAsia="zh-CN"/>
        </w:rPr>
        <w:t>7个重点移民村、社区（</w:t>
      </w:r>
      <w:r>
        <w:rPr>
          <w:rFonts w:hint="default" w:ascii="Times New Roman" w:hAnsi="Times New Roman" w:eastAsia="仿宋_GB2312" w:cs="Times New Roman"/>
          <w:spacing w:val="0"/>
          <w:sz w:val="32"/>
          <w:szCs w:val="32"/>
          <w:lang w:val="zh-CN"/>
        </w:rPr>
        <w:t>同利村、利同新村、利原村、渔光湖村、蔡桥村、新民社区、金丰社区</w:t>
      </w:r>
      <w:r>
        <w:rPr>
          <w:rFonts w:hint="default" w:ascii="Times New Roman" w:hAnsi="Times New Roman" w:eastAsia="仿宋_GB2312" w:cs="Times New Roman"/>
          <w:spacing w:val="0"/>
          <w:sz w:val="32"/>
          <w:szCs w:val="32"/>
          <w:lang w:val="en-US" w:eastAsia="zh-CN"/>
        </w:rPr>
        <w:t>）及“十三五”劳务移民（村、社区）组织开展短期引导性就业技能培训的，在原补贴标准基础上每期再增加200元。</w:t>
      </w:r>
    </w:p>
    <w:p>
      <w:pPr>
        <w:pStyle w:val="4"/>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cs="Times New Roman"/>
          <w:spacing w:val="0"/>
          <w:lang w:val="en-US" w:eastAsia="zh-CN"/>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人力资源和社会保障局，各乡镇人民政府。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lang w:val="zh-CN"/>
        </w:rPr>
      </w:pPr>
      <w:r>
        <w:rPr>
          <w:rFonts w:hint="default" w:ascii="Times New Roman" w:hAnsi="Times New Roman" w:eastAsia="黑体" w:cs="Times New Roman"/>
          <w:spacing w:val="0"/>
          <w:sz w:val="32"/>
          <w:szCs w:val="32"/>
          <w:lang w:val="zh-CN" w:eastAsia="zh-CN"/>
        </w:rPr>
        <w:t>五、扶持利通区职业技能培训联盟发展。</w:t>
      </w:r>
      <w:r>
        <w:rPr>
          <w:rFonts w:hint="default" w:ascii="Times New Roman" w:hAnsi="Times New Roman" w:eastAsia="仿宋_GB2312" w:cs="Times New Roman"/>
          <w:color w:val="auto"/>
          <w:spacing w:val="0"/>
          <w:sz w:val="32"/>
          <w:szCs w:val="32"/>
        </w:rPr>
        <w:t>鼓励职业</w:t>
      </w:r>
      <w:r>
        <w:rPr>
          <w:rFonts w:hint="default" w:ascii="Times New Roman" w:hAnsi="Times New Roman" w:eastAsia="仿宋_GB2312" w:cs="Times New Roman"/>
          <w:color w:val="auto"/>
          <w:spacing w:val="0"/>
          <w:sz w:val="32"/>
          <w:szCs w:val="32"/>
          <w:lang w:eastAsia="zh-CN"/>
        </w:rPr>
        <w:t>技能</w:t>
      </w:r>
      <w:r>
        <w:rPr>
          <w:rFonts w:hint="default" w:ascii="Times New Roman" w:hAnsi="Times New Roman" w:eastAsia="仿宋_GB2312" w:cs="Times New Roman"/>
          <w:color w:val="auto"/>
          <w:spacing w:val="0"/>
          <w:sz w:val="32"/>
          <w:szCs w:val="32"/>
        </w:rPr>
        <w:t>培训联盟</w:t>
      </w:r>
      <w:r>
        <w:rPr>
          <w:rFonts w:hint="default" w:ascii="Times New Roman" w:hAnsi="Times New Roman" w:eastAsia="仿宋_GB2312" w:cs="Times New Roman"/>
          <w:color w:val="auto"/>
          <w:spacing w:val="0"/>
          <w:sz w:val="32"/>
          <w:szCs w:val="32"/>
          <w:lang w:eastAsia="zh-CN"/>
        </w:rPr>
        <w:t>成员单位结合我区实际，</w:t>
      </w:r>
      <w:r>
        <w:rPr>
          <w:rFonts w:hint="default" w:ascii="Times New Roman" w:hAnsi="Times New Roman" w:eastAsia="仿宋_GB2312" w:cs="Times New Roman"/>
          <w:color w:val="auto"/>
          <w:spacing w:val="0"/>
          <w:sz w:val="32"/>
          <w:szCs w:val="32"/>
        </w:rPr>
        <w:t>通过</w:t>
      </w:r>
      <w:r>
        <w:rPr>
          <w:rFonts w:hint="default" w:ascii="Times New Roman" w:hAnsi="Times New Roman" w:eastAsia="仿宋_GB2312" w:cs="Times New Roman"/>
          <w:color w:val="auto"/>
          <w:spacing w:val="0"/>
          <w:sz w:val="32"/>
          <w:szCs w:val="32"/>
          <w:lang w:eastAsia="zh-CN"/>
        </w:rPr>
        <w:t>联合办学、整合优势资源、提升培训质量，开展职业技能培训</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pacing w:val="0"/>
          <w:sz w:val="32"/>
          <w:szCs w:val="32"/>
          <w:lang w:val="zh-CN"/>
        </w:rPr>
        <w:t>职业技能培训联盟实行</w:t>
      </w:r>
      <w:r>
        <w:rPr>
          <w:rFonts w:hint="default" w:ascii="Times New Roman" w:hAnsi="Times New Roman" w:eastAsia="仿宋_GB2312" w:cs="Times New Roman"/>
          <w:spacing w:val="0"/>
          <w:sz w:val="32"/>
          <w:szCs w:val="32"/>
          <w:lang w:val="en-US" w:eastAsia="zh-CN"/>
        </w:rPr>
        <w:t>备案制，</w:t>
      </w:r>
      <w:r>
        <w:rPr>
          <w:rFonts w:hint="default" w:ascii="Times New Roman" w:hAnsi="Times New Roman" w:eastAsia="仿宋_GB2312" w:cs="Times New Roman"/>
          <w:spacing w:val="0"/>
          <w:sz w:val="32"/>
          <w:szCs w:val="32"/>
          <w:lang w:val="zh-CN"/>
        </w:rPr>
        <w:t>对通过职业技能培训联盟组织举办的职业技能培训，由区政府对取得职业资格证书（职业技能等级证书）、专项能力证书的联盟调配培训人员给予培训机构每人</w:t>
      </w:r>
      <w:r>
        <w:rPr>
          <w:rFonts w:hint="default" w:ascii="Times New Roman" w:hAnsi="Times New Roman" w:eastAsia="仿宋_GB2312" w:cs="Times New Roman"/>
          <w:spacing w:val="0"/>
          <w:sz w:val="32"/>
          <w:szCs w:val="32"/>
          <w:lang w:val="en-US" w:eastAsia="zh-CN"/>
        </w:rPr>
        <w:t>100元的</w:t>
      </w:r>
      <w:r>
        <w:rPr>
          <w:rFonts w:hint="default" w:ascii="Times New Roman" w:hAnsi="Times New Roman" w:eastAsia="仿宋_GB2312" w:cs="Times New Roman"/>
          <w:spacing w:val="0"/>
          <w:sz w:val="32"/>
          <w:szCs w:val="32"/>
          <w:lang w:val="zh-CN"/>
        </w:rPr>
        <w:t>培训补贴。</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人力资源和社会保障局，各乡镇人民政府。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zh-CN" w:eastAsia="zh-CN"/>
        </w:rPr>
        <w:t>六、鼓励“两后生”参加职业技能培训。</w:t>
      </w:r>
      <w:r>
        <w:rPr>
          <w:rFonts w:hint="default" w:ascii="Times New Roman" w:hAnsi="Times New Roman" w:eastAsia="仿宋_GB2312" w:cs="Times New Roman"/>
          <w:spacing w:val="0"/>
          <w:sz w:val="32"/>
          <w:szCs w:val="32"/>
        </w:rPr>
        <w:t>对初中、高中毕业</w:t>
      </w:r>
      <w:r>
        <w:rPr>
          <w:rFonts w:hint="default" w:ascii="Times New Roman" w:hAnsi="Times New Roman" w:eastAsia="仿宋_GB2312" w:cs="Times New Roman"/>
          <w:spacing w:val="0"/>
          <w:sz w:val="32"/>
          <w:szCs w:val="32"/>
          <w:lang w:eastAsia="zh-CN"/>
        </w:rPr>
        <w:t>后</w:t>
      </w:r>
      <w:r>
        <w:rPr>
          <w:rFonts w:hint="default" w:ascii="Times New Roman" w:hAnsi="Times New Roman" w:eastAsia="仿宋_GB2312" w:cs="Times New Roman"/>
          <w:spacing w:val="0"/>
          <w:sz w:val="32"/>
          <w:szCs w:val="32"/>
        </w:rPr>
        <w:t>未继续升学的15-22周岁的</w:t>
      </w:r>
      <w:r>
        <w:rPr>
          <w:rFonts w:hint="default" w:ascii="Times New Roman" w:hAnsi="Times New Roman" w:eastAsia="仿宋_GB2312" w:cs="Times New Roman"/>
          <w:spacing w:val="0"/>
          <w:sz w:val="32"/>
          <w:szCs w:val="32"/>
          <w:lang w:eastAsia="zh-CN"/>
        </w:rPr>
        <w:t>利通区籍</w:t>
      </w:r>
      <w:r>
        <w:rPr>
          <w:rFonts w:hint="default" w:ascii="Times New Roman" w:hAnsi="Times New Roman" w:eastAsia="仿宋_GB2312" w:cs="Times New Roman"/>
          <w:spacing w:val="0"/>
          <w:sz w:val="32"/>
          <w:szCs w:val="32"/>
        </w:rPr>
        <w:t>城乡青年，在职业院校（技工院校）参加为期一学期的职业技能培训。培训后取得职业资格证书或职业技能等级证书</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b w:val="0"/>
          <w:bCs w:val="0"/>
          <w:spacing w:val="0"/>
          <w:sz w:val="32"/>
          <w:szCs w:val="32"/>
          <w:lang w:eastAsia="zh-CN"/>
        </w:rPr>
        <w:t>在</w:t>
      </w:r>
      <w:r>
        <w:rPr>
          <w:rFonts w:hint="default" w:ascii="Times New Roman" w:hAnsi="Times New Roman" w:eastAsia="仿宋_GB2312" w:cs="Times New Roman"/>
          <w:b w:val="0"/>
          <w:bCs w:val="0"/>
          <w:spacing w:val="0"/>
          <w:sz w:val="32"/>
          <w:szCs w:val="32"/>
        </w:rPr>
        <w:t>享受自治区</w:t>
      </w:r>
      <w:r>
        <w:rPr>
          <w:rFonts w:hint="default" w:ascii="Times New Roman" w:hAnsi="Times New Roman" w:eastAsia="仿宋_GB2312" w:cs="Times New Roman"/>
          <w:b w:val="0"/>
          <w:bCs w:val="0"/>
          <w:spacing w:val="0"/>
          <w:sz w:val="32"/>
          <w:szCs w:val="32"/>
          <w:lang w:val="en-US" w:eastAsia="zh-CN"/>
        </w:rPr>
        <w:t>6000元</w:t>
      </w:r>
      <w:r>
        <w:rPr>
          <w:rFonts w:hint="default" w:ascii="Times New Roman" w:hAnsi="Times New Roman" w:eastAsia="仿宋_GB2312" w:cs="Times New Roman"/>
          <w:spacing w:val="0"/>
          <w:sz w:val="32"/>
          <w:szCs w:val="32"/>
        </w:rPr>
        <w:t>补贴</w:t>
      </w:r>
      <w:r>
        <w:rPr>
          <w:rFonts w:hint="default" w:ascii="Times New Roman" w:hAnsi="Times New Roman" w:eastAsia="仿宋_GB2312" w:cs="Times New Roman"/>
          <w:spacing w:val="0"/>
          <w:sz w:val="32"/>
          <w:szCs w:val="32"/>
          <w:lang w:eastAsia="zh-CN"/>
        </w:rPr>
        <w:t>的基础上，</w:t>
      </w:r>
      <w:r>
        <w:rPr>
          <w:rFonts w:hint="default" w:ascii="Times New Roman" w:hAnsi="Times New Roman" w:eastAsia="仿宋_GB2312" w:cs="Times New Roman"/>
          <w:spacing w:val="0"/>
          <w:sz w:val="32"/>
          <w:szCs w:val="32"/>
        </w:rPr>
        <w:t>由区政府再给予每人2000元的生活费补贴。</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区教育局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w:t>
      </w:r>
      <w:r>
        <w:rPr>
          <w:rFonts w:hint="default" w:ascii="Times New Roman" w:hAnsi="Times New Roman" w:eastAsia="仿宋_GB2312" w:cs="Times New Roman"/>
          <w:color w:val="000000"/>
          <w:spacing w:val="0"/>
          <w:sz w:val="32"/>
          <w:szCs w:val="32"/>
          <w:lang w:eastAsia="zh-CN"/>
        </w:rPr>
        <w:t>，各乡镇人民政府</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zh-CN" w:eastAsia="zh-CN"/>
        </w:rPr>
        <w:t>七、鼓励企业自主培养紧缺人才。</w:t>
      </w:r>
      <w:r>
        <w:rPr>
          <w:rFonts w:hint="default" w:ascii="Times New Roman" w:hAnsi="Times New Roman" w:eastAsia="仿宋_GB2312" w:cs="Times New Roman"/>
          <w:spacing w:val="0"/>
          <w:sz w:val="32"/>
          <w:szCs w:val="32"/>
        </w:rPr>
        <w:t>支持</w:t>
      </w:r>
      <w:r>
        <w:rPr>
          <w:rFonts w:hint="default" w:ascii="Times New Roman" w:hAnsi="Times New Roman" w:eastAsia="仿宋_GB2312" w:cs="Times New Roman"/>
          <w:spacing w:val="0"/>
          <w:sz w:val="32"/>
          <w:szCs w:val="32"/>
          <w:lang w:eastAsia="zh-CN"/>
        </w:rPr>
        <w:t>利通区十大特色产业</w:t>
      </w:r>
      <w:r>
        <w:rPr>
          <w:rFonts w:hint="default" w:ascii="Times New Roman" w:hAnsi="Times New Roman" w:eastAsia="仿宋_GB2312" w:cs="Times New Roman"/>
          <w:spacing w:val="0"/>
          <w:sz w:val="32"/>
          <w:szCs w:val="32"/>
        </w:rPr>
        <w:t>企业开展化验员、质检员</w:t>
      </w:r>
      <w:r>
        <w:rPr>
          <w:rFonts w:hint="default" w:ascii="Times New Roman" w:hAnsi="Times New Roman" w:eastAsia="仿宋_GB2312" w:cs="Times New Roman"/>
          <w:spacing w:val="0"/>
          <w:sz w:val="32"/>
          <w:szCs w:val="32"/>
          <w:lang w:eastAsia="zh-CN"/>
        </w:rPr>
        <w:t>、化工总控工、水生产处理工、家畜饲养员、数据运维工、电工、焊工、制冷空调、无人机驾驶员</w:t>
      </w:r>
      <w:r>
        <w:rPr>
          <w:rFonts w:hint="default" w:ascii="Times New Roman" w:hAnsi="Times New Roman" w:eastAsia="仿宋_GB2312" w:cs="Times New Roman"/>
          <w:spacing w:val="0"/>
          <w:sz w:val="32"/>
          <w:szCs w:val="32"/>
        </w:rPr>
        <w:t>等急需紧缺人才培训和岗位培训。通过企业自主培养、技术培训、外派学习等方式，加大实用型高级技术工人的培养力度。对当年取得</w:t>
      </w:r>
      <w:r>
        <w:rPr>
          <w:rFonts w:hint="default" w:ascii="Times New Roman" w:hAnsi="Times New Roman" w:eastAsia="仿宋_GB2312" w:cs="Times New Roman"/>
          <w:spacing w:val="0"/>
          <w:sz w:val="32"/>
          <w:szCs w:val="32"/>
          <w:lang w:eastAsia="zh-CN"/>
        </w:rPr>
        <w:t>以上工种</w:t>
      </w:r>
      <w:r>
        <w:rPr>
          <w:rFonts w:hint="default" w:ascii="Times New Roman" w:hAnsi="Times New Roman" w:eastAsia="仿宋_GB2312" w:cs="Times New Roman"/>
          <w:spacing w:val="0"/>
          <w:sz w:val="32"/>
          <w:szCs w:val="32"/>
        </w:rPr>
        <w:t>中级工</w:t>
      </w:r>
      <w:r>
        <w:rPr>
          <w:rFonts w:hint="default" w:ascii="Times New Roman" w:hAnsi="Times New Roman" w:eastAsia="仿宋_GB2312" w:cs="Times New Roman"/>
          <w:spacing w:val="0"/>
          <w:sz w:val="32"/>
          <w:szCs w:val="32"/>
          <w:lang w:eastAsia="zh-CN"/>
        </w:rPr>
        <w:t>（四级）</w:t>
      </w:r>
      <w:r>
        <w:rPr>
          <w:rFonts w:hint="default" w:ascii="Times New Roman" w:hAnsi="Times New Roman" w:eastAsia="仿宋_GB2312" w:cs="Times New Roman"/>
          <w:spacing w:val="0"/>
          <w:sz w:val="32"/>
          <w:szCs w:val="32"/>
        </w:rPr>
        <w:t>、高级工</w:t>
      </w:r>
      <w:r>
        <w:rPr>
          <w:rFonts w:hint="default" w:ascii="Times New Roman" w:hAnsi="Times New Roman" w:eastAsia="仿宋_GB2312" w:cs="Times New Roman"/>
          <w:spacing w:val="0"/>
          <w:sz w:val="32"/>
          <w:szCs w:val="32"/>
          <w:lang w:eastAsia="zh-CN"/>
        </w:rPr>
        <w:t>（三级）</w:t>
      </w:r>
      <w:r>
        <w:rPr>
          <w:rFonts w:hint="default" w:ascii="Times New Roman" w:hAnsi="Times New Roman" w:eastAsia="仿宋_GB2312" w:cs="Times New Roman"/>
          <w:spacing w:val="0"/>
          <w:sz w:val="32"/>
          <w:szCs w:val="32"/>
        </w:rPr>
        <w:t>、技师</w:t>
      </w:r>
      <w:r>
        <w:rPr>
          <w:rFonts w:hint="default" w:ascii="Times New Roman" w:hAnsi="Times New Roman" w:eastAsia="仿宋_GB2312" w:cs="Times New Roman"/>
          <w:spacing w:val="0"/>
          <w:sz w:val="32"/>
          <w:szCs w:val="32"/>
          <w:lang w:eastAsia="zh-CN"/>
        </w:rPr>
        <w:t>（二级）</w:t>
      </w:r>
      <w:r>
        <w:rPr>
          <w:rFonts w:hint="default" w:ascii="Times New Roman" w:hAnsi="Times New Roman" w:eastAsia="仿宋_GB2312" w:cs="Times New Roman"/>
          <w:spacing w:val="0"/>
          <w:sz w:val="32"/>
          <w:szCs w:val="32"/>
        </w:rPr>
        <w:t>、高级技师</w:t>
      </w:r>
      <w:r>
        <w:rPr>
          <w:rFonts w:hint="default" w:ascii="Times New Roman" w:hAnsi="Times New Roman" w:eastAsia="仿宋_GB2312" w:cs="Times New Roman"/>
          <w:spacing w:val="0"/>
          <w:sz w:val="32"/>
          <w:szCs w:val="32"/>
          <w:lang w:eastAsia="zh-CN"/>
        </w:rPr>
        <w:t>（一级）</w:t>
      </w:r>
      <w:r>
        <w:rPr>
          <w:rFonts w:hint="default" w:ascii="Times New Roman" w:hAnsi="Times New Roman" w:eastAsia="仿宋_GB2312" w:cs="Times New Roman"/>
          <w:spacing w:val="0"/>
          <w:sz w:val="32"/>
          <w:szCs w:val="32"/>
        </w:rPr>
        <w:t>职业资格的技能人才培养企业，区</w:t>
      </w:r>
      <w:r>
        <w:rPr>
          <w:rFonts w:hint="default" w:ascii="Times New Roman" w:hAnsi="Times New Roman" w:eastAsia="仿宋_GB2312" w:cs="Times New Roman"/>
          <w:spacing w:val="0"/>
          <w:sz w:val="32"/>
          <w:szCs w:val="32"/>
          <w:lang w:eastAsia="zh-CN"/>
        </w:rPr>
        <w:t>政府</w:t>
      </w:r>
      <w:r>
        <w:rPr>
          <w:rFonts w:hint="default" w:ascii="Times New Roman" w:hAnsi="Times New Roman" w:eastAsia="仿宋_GB2312" w:cs="Times New Roman"/>
          <w:spacing w:val="0"/>
          <w:sz w:val="32"/>
          <w:szCs w:val="32"/>
        </w:rPr>
        <w:t>分别按每人1000元、1500元、2000元、3000元的标准给予培养企业一次性补助。</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区工业信息化和商务局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w:t>
      </w:r>
      <w:r>
        <w:rPr>
          <w:rFonts w:hint="default" w:ascii="Times New Roman" w:hAnsi="Times New Roman" w:eastAsia="仿宋_GB2312" w:cs="Times New Roman"/>
          <w:color w:val="000000"/>
          <w:spacing w:val="0"/>
          <w:sz w:val="32"/>
          <w:szCs w:val="32"/>
          <w:lang w:eastAsia="zh-CN"/>
        </w:rPr>
        <w:t>住房城乡建设和交通局、农业农村局</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zh-CN" w:eastAsia="zh-CN"/>
        </w:rPr>
        <w:t>八、培育创新创业孵化平台。</w:t>
      </w:r>
      <w:r>
        <w:rPr>
          <w:rFonts w:hint="default" w:ascii="Times New Roman" w:hAnsi="Times New Roman" w:eastAsia="仿宋_GB2312" w:cs="Times New Roman"/>
          <w:spacing w:val="0"/>
          <w:sz w:val="32"/>
          <w:szCs w:val="32"/>
        </w:rPr>
        <w:t>充分发挥企业、高校、创业投资机构、社会组织等社会力量，利用原有的各类园区或商业用房、闲置场地，建设具有集聚效应和孵化功能的</w:t>
      </w:r>
      <w:r>
        <w:rPr>
          <w:rFonts w:hint="default" w:ascii="Times New Roman" w:hAnsi="Times New Roman" w:eastAsia="仿宋_GB2312" w:cs="Times New Roman"/>
          <w:spacing w:val="0"/>
          <w:sz w:val="32"/>
          <w:szCs w:val="32"/>
          <w:lang w:eastAsia="zh-CN"/>
        </w:rPr>
        <w:t>大学生创业园、返乡农民创业园、退伍军人创业园和电子商务创业园等创新创业基地</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对认定为利通区级创业孵化基地的给予</w:t>
      </w:r>
      <w:r>
        <w:rPr>
          <w:rFonts w:hint="default" w:ascii="Times New Roman" w:hAnsi="Times New Roman" w:eastAsia="仿宋_GB2312" w:cs="Times New Roman"/>
          <w:spacing w:val="0"/>
          <w:sz w:val="32"/>
          <w:szCs w:val="32"/>
          <w:lang w:val="en-US" w:eastAsia="zh-CN"/>
        </w:rPr>
        <w:t>20万元奖补，并按程序申报吴忠市和自治区级创业孵化基地项目。对入驻利通区电子商务孵化基地的，给予各类创业实体2年的房租减免。</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lang w:val="zh-CN"/>
        </w:rPr>
        <w:t>区</w:t>
      </w:r>
      <w:r>
        <w:rPr>
          <w:rFonts w:hint="default" w:ascii="Times New Roman" w:hAnsi="Times New Roman" w:eastAsia="仿宋_GB2312" w:cs="Times New Roman"/>
          <w:color w:val="000000"/>
          <w:spacing w:val="0"/>
          <w:sz w:val="32"/>
          <w:szCs w:val="32"/>
        </w:rPr>
        <w:t>发展和改革局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工业信息化和商务局、民政局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财政局、人力资源和社会保障局、住房城乡建设和交通局</w:t>
      </w:r>
      <w:r>
        <w:rPr>
          <w:rFonts w:hint="default" w:ascii="Times New Roman" w:hAnsi="Times New Roman" w:eastAsia="仿宋_GB2312" w:cs="Times New Roman"/>
          <w:color w:val="000000"/>
          <w:spacing w:val="0"/>
          <w:sz w:val="32"/>
          <w:szCs w:val="32"/>
          <w:lang w:eastAsia="zh-CN"/>
        </w:rPr>
        <w:t>、退役军人事务局、团区委</w:t>
      </w:r>
      <w:r>
        <w:rPr>
          <w:rFonts w:hint="default" w:ascii="Times New Roman" w:hAnsi="Times New Roman" w:eastAsia="仿宋_GB2312" w:cs="Times New Roman"/>
          <w:color w:val="000000"/>
          <w:spacing w:val="0"/>
          <w:sz w:val="32"/>
          <w:szCs w:val="32"/>
        </w:rPr>
        <w:t>，各乡镇人民政府。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黑体" w:cs="Times New Roman"/>
          <w:spacing w:val="0"/>
          <w:sz w:val="32"/>
          <w:szCs w:val="32"/>
          <w:lang w:val="en-US" w:eastAsia="zh-CN"/>
        </w:rPr>
        <w:t>九、发放外出务工交通补贴。</w:t>
      </w:r>
      <w:r>
        <w:rPr>
          <w:rFonts w:hint="default" w:ascii="Times New Roman" w:hAnsi="Times New Roman" w:eastAsia="仿宋_GB2312" w:cs="Times New Roman"/>
          <w:spacing w:val="0"/>
          <w:sz w:val="32"/>
          <w:szCs w:val="32"/>
          <w:lang w:val="en-US" w:eastAsia="zh-CN"/>
        </w:rPr>
        <w:t>外出务工稳定在6个月及以上的我区农村转移就业人员，凭用工单位出具的工资证明和工资发放银行流水等电子凭证，每人每年可享受一次性交通补贴，补贴标准为自治区内跨县（市）就业的补贴300元，跨省（区）就业的补贴800元。支持五里坡、孙家滩奶牛核心区和同利巾被厂稳定用工，对利通区籍农村转移劳动力到奶牛核心区各类牧场和同利巾被厂就业的，凭用工单位出具的工资证明和工资发放银行流水等电子凭证，每人每年可享受200元一次性交通</w:t>
      </w:r>
      <w:r>
        <w:rPr>
          <w:rFonts w:hint="default" w:ascii="Times New Roman" w:hAnsi="Times New Roman" w:eastAsia="仿宋_GB2312" w:cs="Times New Roman"/>
          <w:spacing w:val="-6"/>
          <w:sz w:val="32"/>
          <w:szCs w:val="32"/>
          <w:lang w:val="en-US" w:eastAsia="zh-CN"/>
        </w:rPr>
        <w:t>补贴。</w:t>
      </w:r>
      <w:r>
        <w:rPr>
          <w:rFonts w:hint="default" w:ascii="Times New Roman" w:hAnsi="Times New Roman" w:eastAsia="仿宋_GB2312" w:cs="Times New Roman"/>
          <w:spacing w:val="-6"/>
          <w:sz w:val="32"/>
          <w:szCs w:val="32"/>
          <w:lang w:eastAsia="zh-CN"/>
        </w:rPr>
        <w:t>“五类人员”（脱贫人员、农村低收入人口、搬迁群众、低保边缘人口、监测对象户）</w:t>
      </w:r>
      <w:r>
        <w:rPr>
          <w:rFonts w:hint="default" w:ascii="Times New Roman" w:hAnsi="Times New Roman" w:eastAsia="仿宋_GB2312" w:cs="Times New Roman"/>
          <w:spacing w:val="-6"/>
          <w:sz w:val="32"/>
          <w:szCs w:val="32"/>
          <w:lang w:val="en-US" w:eastAsia="zh-CN"/>
        </w:rPr>
        <w:t>在上述补贴标准基础上再增加200元。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color w:val="000000"/>
          <w:spacing w:val="0"/>
          <w:sz w:val="32"/>
          <w:szCs w:val="32"/>
        </w:rPr>
        <w:t>区财政局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w:t>
      </w:r>
      <w:r>
        <w:rPr>
          <w:rFonts w:hint="default" w:ascii="Times New Roman" w:hAnsi="Times New Roman" w:eastAsia="仿宋_GB2312" w:cs="Times New Roman"/>
          <w:color w:val="000000"/>
          <w:spacing w:val="0"/>
          <w:sz w:val="32"/>
          <w:szCs w:val="32"/>
          <w:lang w:eastAsia="zh-CN"/>
        </w:rPr>
        <w:t>农业农村局（乡村振兴局）</w:t>
      </w:r>
      <w:r>
        <w:rPr>
          <w:rFonts w:hint="default" w:ascii="Times New Roman" w:hAnsi="Times New Roman" w:eastAsia="仿宋_GB2312" w:cs="Times New Roman"/>
          <w:color w:val="000000"/>
          <w:spacing w:val="0"/>
          <w:sz w:val="32"/>
          <w:szCs w:val="32"/>
        </w:rPr>
        <w:t>，各乡镇人民政府。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 xml:space="preserve">    十、鼓励“五类人员”稳定就业。</w:t>
      </w:r>
      <w:r>
        <w:rPr>
          <w:rFonts w:hint="default" w:ascii="Times New Roman" w:hAnsi="Times New Roman" w:eastAsia="仿宋_GB2312" w:cs="Times New Roman"/>
          <w:spacing w:val="0"/>
          <w:sz w:val="32"/>
          <w:szCs w:val="32"/>
          <w:lang w:val="en-US" w:eastAsia="zh-CN"/>
        </w:rPr>
        <w:t>中小微企业、民办非企业单位、社会团体、就业帮扶车间等当年使用</w:t>
      </w:r>
      <w:r>
        <w:rPr>
          <w:rFonts w:hint="default" w:ascii="Times New Roman" w:hAnsi="Times New Roman" w:eastAsia="仿宋_GB2312" w:cs="Times New Roman"/>
          <w:spacing w:val="0"/>
          <w:sz w:val="32"/>
          <w:szCs w:val="32"/>
          <w:lang w:eastAsia="zh-CN"/>
        </w:rPr>
        <w:t>“五类人员”（脱贫人员、农村低收入人口、搬迁群众、低保边缘人口、监测对象户）</w:t>
      </w:r>
      <w:r>
        <w:rPr>
          <w:rFonts w:hint="default" w:ascii="Times New Roman" w:hAnsi="Times New Roman" w:eastAsia="仿宋_GB2312" w:cs="Times New Roman"/>
          <w:spacing w:val="0"/>
          <w:sz w:val="32"/>
          <w:szCs w:val="32"/>
          <w:lang w:val="en-US" w:eastAsia="zh-CN"/>
        </w:rPr>
        <w:t xml:space="preserve">就业6个月及以上的，以工资发放银行6个月流水等电子凭证为依据，按照就业人数给予用工单位资金补贴，补贴标准为：使用5人至10人、11人至20人、21人至30人、31人至100人、100人以上的分别给予1万元、2万元、5万元、10万元、20万元补贴。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楷体_GB2312" w:cs="Times New Roman"/>
          <w:b/>
          <w:bCs/>
          <w:color w:val="000000"/>
          <w:spacing w:val="0"/>
          <w:sz w:val="32"/>
          <w:szCs w:val="32"/>
          <w:lang w:val="zh-CN"/>
        </w:rPr>
        <w:t>责任单位：</w:t>
      </w:r>
      <w:r>
        <w:rPr>
          <w:rFonts w:hint="default" w:ascii="Times New Roman" w:hAnsi="Times New Roman" w:eastAsia="仿宋_GB2312" w:cs="Times New Roman"/>
          <w:spacing w:val="0"/>
          <w:kern w:val="2"/>
          <w:sz w:val="32"/>
          <w:szCs w:val="32"/>
          <w:lang w:val="zh-CN" w:eastAsia="zh-CN" w:bidi="ar-SA"/>
        </w:rPr>
        <w:t>区</w:t>
      </w:r>
      <w:r>
        <w:rPr>
          <w:rFonts w:hint="default" w:ascii="Times New Roman" w:hAnsi="Times New Roman" w:eastAsia="仿宋_GB2312" w:cs="Times New Roman"/>
          <w:spacing w:val="0"/>
          <w:kern w:val="2"/>
          <w:sz w:val="32"/>
          <w:szCs w:val="32"/>
          <w:lang w:val="en-US" w:eastAsia="zh-CN" w:bidi="ar-SA"/>
        </w:rPr>
        <w:t>工业信息化和商务局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财政局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人力资源和社会保障局</w:t>
      </w:r>
      <w:r>
        <w:rPr>
          <w:rFonts w:hint="default" w:ascii="Times New Roman" w:hAnsi="Times New Roman" w:eastAsia="仿宋_GB2312" w:cs="Times New Roman"/>
          <w:color w:val="000000"/>
          <w:spacing w:val="0"/>
          <w:sz w:val="32"/>
          <w:szCs w:val="32"/>
          <w:lang w:eastAsia="zh-CN"/>
        </w:rPr>
        <w:t>、农业农村局（乡村振兴局），</w:t>
      </w:r>
      <w:r>
        <w:rPr>
          <w:rFonts w:hint="default" w:ascii="Times New Roman" w:hAnsi="Times New Roman" w:eastAsia="仿宋_GB2312" w:cs="Times New Roman"/>
          <w:color w:val="000000"/>
          <w:spacing w:val="0"/>
          <w:sz w:val="32"/>
          <w:szCs w:val="32"/>
        </w:rPr>
        <w:t>各乡镇人民政府。</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本工作措施自发布之日起</w:t>
      </w:r>
      <w:r>
        <w:rPr>
          <w:rFonts w:hint="default" w:ascii="Times New Roman" w:hAnsi="Times New Roman" w:eastAsia="仿宋_GB2312" w:cs="Times New Roman"/>
          <w:spacing w:val="0"/>
          <w:kern w:val="2"/>
          <w:sz w:val="32"/>
          <w:szCs w:val="32"/>
          <w:lang w:val="en" w:eastAsia="zh-CN" w:bidi="ar-SA"/>
        </w:rPr>
        <w:t>施行</w:t>
      </w:r>
      <w:r>
        <w:rPr>
          <w:rFonts w:hint="default" w:ascii="Times New Roman" w:hAnsi="Times New Roman" w:eastAsia="仿宋_GB2312" w:cs="Times New Roman"/>
          <w:spacing w:val="0"/>
          <w:kern w:val="2"/>
          <w:sz w:val="32"/>
          <w:szCs w:val="32"/>
          <w:lang w:val="en-US" w:eastAsia="zh-CN" w:bidi="ar-SA"/>
        </w:rPr>
        <w:t>，截止时间为2024年12月31日。《吴忠市利通区支持多渠道灵活就业和创新创业工作措施》（吴利政规发〔2021〕3号）继续有效，政策内容和标准不一致的，以本工作措施为主，不得重复享受。具体由区人力资源和社会保障局负责解释。</w:t>
      </w: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lang w:val="en-US" w:eastAsia="zh-CN"/>
        </w:rPr>
      </w:pPr>
    </w:p>
    <w:p>
      <w:pPr>
        <w:pStyle w:val="3"/>
        <w:rPr>
          <w:rFonts w:hint="default"/>
          <w:lang w:val="en-US" w:eastAsia="zh-CN"/>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3"/>
        <w:rPr>
          <w:rFonts w:hint="default" w:ascii="Times New Roman" w:hAnsi="Times New Roman" w:eastAsia="仿宋_GB2312" w:cs="Times New Roman"/>
          <w:spacing w:val="0"/>
          <w:kern w:val="2"/>
          <w:sz w:val="32"/>
          <w:szCs w:val="32"/>
          <w:lang w:val="en-US" w:eastAsia="zh-CN" w:bidi="ar-SA"/>
        </w:rPr>
      </w:pPr>
    </w:p>
    <w:p>
      <w:pPr>
        <w:rPr>
          <w:rFonts w:hint="default" w:ascii="Times New Roman" w:hAnsi="Times New Roman" w:eastAsia="仿宋_GB2312" w:cs="Times New Roman"/>
          <w:spacing w:val="0"/>
          <w:kern w:val="2"/>
          <w:sz w:val="32"/>
          <w:szCs w:val="32"/>
          <w:lang w:val="en-US" w:eastAsia="zh-CN" w:bidi="ar-SA"/>
        </w:rPr>
      </w:pPr>
    </w:p>
    <w:p>
      <w:pPr>
        <w:pStyle w:val="10"/>
        <w:rPr>
          <w:rFonts w:hint="default" w:ascii="Times New Roman" w:hAnsi="Times New Roman" w:eastAsia="仿宋_GB2312" w:cs="Times New Roman"/>
          <w:spacing w:val="0"/>
          <w:kern w:val="2"/>
          <w:sz w:val="32"/>
          <w:szCs w:val="32"/>
          <w:lang w:val="en-US" w:eastAsia="zh-CN" w:bidi="ar-SA"/>
        </w:rPr>
      </w:pPr>
    </w:p>
    <w:p>
      <w:pPr>
        <w:pStyle w:val="5"/>
        <w:rPr>
          <w:rFonts w:hint="default" w:ascii="Times New Roman" w:hAnsi="Times New Roman" w:eastAsia="仿宋_GB2312" w:cs="Times New Roman"/>
          <w:spacing w:val="0"/>
          <w:kern w:val="2"/>
          <w:sz w:val="32"/>
          <w:szCs w:val="32"/>
          <w:lang w:val="en-US" w:eastAsia="zh-CN" w:bidi="ar-SA"/>
        </w:rPr>
      </w:pPr>
    </w:p>
    <w:p>
      <w:pPr>
        <w:pStyle w:val="5"/>
        <w:rPr>
          <w:rFonts w:hint="default" w:ascii="Times New Roman" w:hAnsi="Times New Roman" w:eastAsia="仿宋_GB2312" w:cs="Times New Roman"/>
          <w:spacing w:val="0"/>
          <w:kern w:val="2"/>
          <w:sz w:val="32"/>
          <w:szCs w:val="32"/>
          <w:lang w:val="en-US" w:eastAsia="zh-CN" w:bidi="ar-SA"/>
        </w:rPr>
      </w:pPr>
    </w:p>
    <w:p>
      <w:pPr>
        <w:pStyle w:val="5"/>
        <w:rPr>
          <w:rFonts w:hint="default" w:ascii="Times New Roman" w:hAnsi="Times New Roman" w:eastAsia="仿宋_GB2312" w:cs="Times New Roman"/>
          <w:spacing w:val="0"/>
          <w:kern w:val="2"/>
          <w:sz w:val="32"/>
          <w:szCs w:val="32"/>
          <w:lang w:val="en-US" w:eastAsia="zh-CN" w:bidi="ar-SA"/>
        </w:rPr>
      </w:pPr>
    </w:p>
    <w:p>
      <w:pPr>
        <w:pStyle w:val="5"/>
        <w:rPr>
          <w:rFonts w:hint="default" w:ascii="Times New Roman" w:hAnsi="Times New Roman" w:eastAsia="仿宋_GB2312" w:cs="Times New Roman"/>
          <w:spacing w:val="0"/>
          <w:kern w:val="2"/>
          <w:sz w:val="32"/>
          <w:szCs w:val="32"/>
          <w:lang w:val="en-US" w:eastAsia="zh-CN" w:bidi="ar-SA"/>
        </w:rPr>
      </w:pPr>
    </w:p>
    <w:p>
      <w:pPr>
        <w:keepNext w:val="0"/>
        <w:keepLines w:val="0"/>
        <w:pageBreakBefore w:val="0"/>
        <w:widowControl w:val="0"/>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576" w:lineRule="exact"/>
        <w:ind w:left="0" w:leftChars="0" w:right="0" w:rightChars="0" w:firstLine="4950" w:firstLineChars="1500"/>
        <w:jc w:val="both"/>
        <w:textAlignment w:val="auto"/>
        <w:outlineLvl w:val="9"/>
        <w:rPr>
          <w:rFonts w:hint="eastAsia" w:ascii="仿宋_GB2312" w:hAnsi="仿宋_GB2312" w:eastAsia="仿宋_GB2312" w:cs="仿宋_GB2312"/>
          <w:b w:val="0"/>
          <w:bCs w:val="0"/>
          <w:color w:val="auto"/>
          <w:sz w:val="33"/>
          <w:szCs w:val="33"/>
          <w:lang w:val="en-US" w:eastAsia="zh-CN"/>
        </w:rPr>
      </w:pPr>
    </w:p>
    <w:p>
      <w:pPr>
        <w:pStyle w:val="5"/>
        <w:keepNext w:val="0"/>
        <w:keepLines w:val="0"/>
        <w:pageBreakBefore w:val="0"/>
        <w:widowControl w:val="0"/>
        <w:kinsoku/>
        <w:wordWrap/>
        <w:overflowPunct/>
        <w:bidi w:val="0"/>
        <w:snapToGrid/>
        <w:spacing w:line="576" w:lineRule="exact"/>
        <w:ind w:left="0" w:leftChars="0" w:right="0" w:rightChars="0" w:firstLine="640"/>
        <w:textAlignment w:val="auto"/>
        <w:rPr>
          <w:rFonts w:hint="eastAsia"/>
          <w:lang w:eastAsia="zh-CN"/>
        </w:rPr>
      </w:pPr>
    </w:p>
    <w:p>
      <w:pPr>
        <w:pStyle w:val="5"/>
        <w:keepNext w:val="0"/>
        <w:keepLines w:val="0"/>
        <w:pageBreakBefore w:val="0"/>
        <w:widowControl w:val="0"/>
        <w:kinsoku/>
        <w:wordWrap/>
        <w:overflowPunct/>
        <w:bidi w:val="0"/>
        <w:snapToGrid/>
        <w:spacing w:line="576" w:lineRule="exact"/>
        <w:ind w:left="0" w:leftChars="0" w:right="0" w:rightChars="0" w:firstLine="640"/>
        <w:textAlignment w:val="auto"/>
        <w:rPr>
          <w:rFonts w:hint="eastAsia"/>
          <w:lang w:eastAsia="zh-CN"/>
        </w:rPr>
      </w:pPr>
    </w:p>
    <w:p>
      <w:pPr>
        <w:pStyle w:val="5"/>
        <w:keepNext w:val="0"/>
        <w:keepLines w:val="0"/>
        <w:pageBreakBefore w:val="0"/>
        <w:widowControl w:val="0"/>
        <w:kinsoku/>
        <w:wordWrap/>
        <w:overflowPunct/>
        <w:bidi w:val="0"/>
        <w:snapToGrid/>
        <w:spacing w:line="576" w:lineRule="exact"/>
        <w:ind w:right="0" w:rightChars="0"/>
        <w:textAlignment w:val="auto"/>
        <w:rPr>
          <w:rFonts w:hint="eastAsia"/>
          <w:lang w:eastAsia="zh-CN"/>
        </w:rPr>
      </w:pPr>
    </w:p>
    <w:p>
      <w:pPr>
        <w:rPr>
          <w:rFonts w:hint="eastAsia"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1" locked="0" layoutInCell="1" allowOverlap="1">
                <wp:simplePos x="0" y="0"/>
                <wp:positionH relativeFrom="column">
                  <wp:posOffset>3175</wp:posOffset>
                </wp:positionH>
                <wp:positionV relativeFrom="paragraph">
                  <wp:posOffset>386715</wp:posOffset>
                </wp:positionV>
                <wp:extent cx="5615940" cy="15240"/>
                <wp:effectExtent l="0" t="0" r="0" b="0"/>
                <wp:wrapNone/>
                <wp:docPr id="2" name="直接连接符 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直接连接符 1" o:spid="_x0000_s1026" o:spt="20" style="position:absolute;left:0pt;flip:y;margin-left:0.25pt;margin-top:30.45pt;height:1.2pt;width:442.2pt;z-index:-251655168;mso-width-relative:page;mso-height-relative:page;" filled="f" stroked="t" coordsize="21600,21600" o:gfxdata="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L21mLUAAAABgEAAA8AAAAAAAAAAQAgAAAAOAAAAGRycy9kb3ducmV2&#10;LnhtbFBLAQIUABQAAAAIAIdO4kCZ22mO6gEAALkDAAAOAAAAAAAAAAEAIAAAADkBAABkcnMvZTJv&#10;RG9jLnhtbFBLBQYAAAAABgAGAFkBAACVBQ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1" locked="0" layoutInCell="1" allowOverlap="1">
                <wp:simplePos x="0" y="0"/>
                <wp:positionH relativeFrom="column">
                  <wp:posOffset>3810</wp:posOffset>
                </wp:positionH>
                <wp:positionV relativeFrom="paragraph">
                  <wp:posOffset>49530</wp:posOffset>
                </wp:positionV>
                <wp:extent cx="5615940" cy="15240"/>
                <wp:effectExtent l="0" t="0" r="0" b="0"/>
                <wp:wrapNone/>
                <wp:docPr id="4" name="直接连接符 2"/>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headEnd type="none" w="med" len="med"/>
                          <a:tailEnd type="none" w="med" len="med"/>
                        </a:ln>
                        <a:effectLst/>
                      </wps:spPr>
                      <wps:bodyPr upright="true"/>
                    </wps:wsp>
                  </a:graphicData>
                </a:graphic>
              </wp:anchor>
            </w:drawing>
          </mc:Choice>
          <mc:Fallback>
            <w:pict>
              <v:line id="直接连接符 2" o:spid="_x0000_s1026" o:spt="20" style="position:absolute;left:0pt;flip:y;margin-left:0.3pt;margin-top:3.9pt;height:1.2pt;width:442.2pt;z-index:-251656192;mso-width-relative:page;mso-height-relative:page;" filled="f" stroked="t" coordsize="21600,21600" o:gfxdata="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FjstDSAAAABQEAAA8AAAAAAAAAAQAgAAAAOAAAAGRycy9kb3ducmV2&#10;LnhtbFBLAQIUABQAAAAIAIdO4kBdAY1/7AEAALkDAAAOAAAAAAAAAAEAIAAAADcBAABkcnMvZTJv&#10;RG9jLnhtbFBLBQYAAAAABgAGAFkBAACVBQAAAAA=&#10;">
                <v:fill on="f" focussize="0,0"/>
                <v:stroke weight="0.992047244094488pt"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rPr>
        <w:t>吴忠市利通区人民政府</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印</w:t>
      </w:r>
      <w:r>
        <w:rPr>
          <w:rFonts w:hint="eastAsia" w:ascii="仿宋_GB2312" w:hAnsi="仿宋_GB2312" w:eastAsia="仿宋_GB2312" w:cs="仿宋_GB2312"/>
          <w:sz w:val="28"/>
          <w:szCs w:val="28"/>
        </w:rPr>
        <w:t>发</w:t>
      </w:r>
      <w:r>
        <w:rPr>
          <w:rFonts w:hint="default"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b w:val="0"/>
          <w:bCs w:val="0"/>
          <w:color w:val="auto"/>
          <w:sz w:val="33"/>
          <w:szCs w:val="33"/>
          <w:lang w:val="en-US" w:eastAsia="zh-CN"/>
        </w:rPr>
        <w:t xml:space="preserve">  </w:t>
      </w:r>
    </w:p>
    <w:sectPr>
      <w:headerReference r:id="rId3" w:type="default"/>
      <w:footerReference r:id="rId4" w:type="default"/>
      <w:footerReference r:id="rId5" w:type="even"/>
      <w:pgSz w:w="11906" w:h="16838"/>
      <w:pgMar w:top="1985" w:right="1588"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503C2"/>
    <w:rsid w:val="1FFF0373"/>
    <w:rsid w:val="3EAB0813"/>
    <w:rsid w:val="486D0C8F"/>
    <w:rsid w:val="4FDFB036"/>
    <w:rsid w:val="5F2F1CBA"/>
    <w:rsid w:val="63B6803F"/>
    <w:rsid w:val="65DAC829"/>
    <w:rsid w:val="6B7F4298"/>
    <w:rsid w:val="6FDF66C5"/>
    <w:rsid w:val="6FFA5E0B"/>
    <w:rsid w:val="73DBAE16"/>
    <w:rsid w:val="7FFE233B"/>
    <w:rsid w:val="8CB65717"/>
    <w:rsid w:val="A7E231C1"/>
    <w:rsid w:val="B7BC60F2"/>
    <w:rsid w:val="BF5E0490"/>
    <w:rsid w:val="DC6B38D1"/>
    <w:rsid w:val="EF775F29"/>
    <w:rsid w:val="EFDF3B74"/>
    <w:rsid w:val="EFE35860"/>
    <w:rsid w:val="EFFF1EFF"/>
    <w:rsid w:val="F1578173"/>
    <w:rsid w:val="F3F7858A"/>
    <w:rsid w:val="FF9F9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9"/>
    <w:basedOn w:val="1"/>
    <w:next w:val="1"/>
    <w:qFormat/>
    <w:uiPriority w:val="99"/>
    <w:pPr>
      <w:keepNext/>
      <w:keepLines/>
      <w:spacing w:line="317" w:lineRule="auto"/>
      <w:outlineLvl w:val="8"/>
    </w:pPr>
    <w:rPr>
      <w:rFonts w:ascii="Arial" w:hAnsi="Arial" w:eastAsia="黑体" w:cs="Arial"/>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啊"/>
    <w:basedOn w:val="1"/>
    <w:next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paragraph" w:styleId="4">
    <w:name w:val="Normal Indent"/>
    <w:basedOn w:val="1"/>
    <w:next w:val="1"/>
    <w:qFormat/>
    <w:uiPriority w:val="0"/>
    <w:pPr>
      <w:ind w:firstLine="200" w:firstLineChars="200"/>
    </w:pPr>
    <w:rPr>
      <w:rFonts w:ascii="Times New Roman" w:hAnsi="Times New Roman" w:eastAsia="宋体" w:cs="Times New Roman"/>
      <w:sz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1"/>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120" w:afterAutospacing="0" w:line="240" w:lineRule="auto"/>
      <w:ind w:left="200" w:leftChars="200" w:right="0" w:firstLine="200" w:firstLineChars="200"/>
      <w:jc w:val="both"/>
      <w:textAlignment w:val="auto"/>
      <w:outlineLvl w:val="9"/>
    </w:pPr>
    <w:rPr>
      <w:rFonts w:ascii="Times New Roman" w:hAnsi="Times New Roman" w:eastAsia="宋体"/>
      <w:snapToGrid/>
      <w:color w:val="auto"/>
      <w:spacing w:val="0"/>
      <w:w w:val="100"/>
      <w:kern w:val="2"/>
      <w:position w:val="0"/>
      <w:sz w:val="21"/>
      <w:szCs w:val="21"/>
      <w:u w:val="none" w:color="auto"/>
      <w:vertAlign w:val="baseline"/>
      <w:lang w:val="en-US" w:eastAsia="zh-CN"/>
    </w:rPr>
  </w:style>
  <w:style w:type="character" w:styleId="13">
    <w:name w:val="page number"/>
    <w:basedOn w:val="12"/>
    <w:qFormat/>
    <w:uiPriority w:val="0"/>
  </w:style>
  <w:style w:type="paragraph" w:customStyle="1" w:styleId="14">
    <w:name w:val=" Char"/>
    <w:basedOn w:val="1"/>
    <w:qFormat/>
    <w:uiPriority w:val="0"/>
    <w:pPr>
      <w:widowControl/>
      <w:spacing w:after="200" w:line="276" w:lineRule="auto"/>
      <w:jc w:val="left"/>
    </w:pPr>
    <w:rPr>
      <w:kern w:val="0"/>
      <w:sz w:val="22"/>
      <w:szCs w:val="20"/>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ltq</cp:lastModifiedBy>
  <dcterms:modified xsi:type="dcterms:W3CDTF">2022-06-09T08:57:20Z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