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7935" w:h="5639" w:hRule="exact" w:wrap="auto" w:vAnchor="page" w:hAnchor="page" w:x="1811" w:y="1678"/>
        <w:widowControl w:val="0"/>
        <w:autoSpaceDE w:val="0"/>
        <w:autoSpaceDN w:val="0"/>
        <w:spacing w:before="0" w:after="0" w:line="595" w:lineRule="exact"/>
        <w:ind w:left="0" w:right="0" w:firstLine="0"/>
        <w:jc w:val="both"/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eastAsia="zh-CN"/>
        </w:rPr>
        <w:t>吴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eastAsia="zh-CN"/>
        </w:rPr>
        <w:t>忠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eastAsia="zh-CN"/>
        </w:rPr>
        <w:t>市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eastAsia="zh-CN"/>
        </w:rPr>
        <w:t>利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eastAsia="zh-CN"/>
        </w:rPr>
        <w:t>通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eastAsia="zh-CN"/>
        </w:rPr>
        <w:t>区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eastAsia="zh-CN"/>
        </w:rPr>
        <w:t>民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eastAsia="zh-CN"/>
        </w:rPr>
        <w:t>政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eastAsia="zh-CN"/>
        </w:rPr>
        <w:t>局</w:t>
      </w:r>
    </w:p>
    <w:p>
      <w:pPr>
        <w:framePr w:w="7935" w:h="5639" w:hRule="exact" w:wrap="auto" w:vAnchor="page" w:hAnchor="page" w:x="1811" w:y="1678"/>
        <w:widowControl w:val="0"/>
        <w:autoSpaceDE w:val="0"/>
        <w:autoSpaceDN w:val="0"/>
        <w:spacing w:before="200" w:after="0" w:line="595" w:lineRule="exact"/>
        <w:ind w:left="0" w:right="0" w:firstLine="0"/>
        <w:jc w:val="both"/>
        <w:rPr>
          <w:rFonts w:hint="eastAsia" w:ascii="方正小标宋_GBK" w:hAnsi="方正小标宋_GBK" w:eastAsia="方正小标宋_GBK" w:cs="方正小标宋_GBK"/>
          <w:color w:val="000000"/>
          <w:spacing w:val="0"/>
          <w:w w:val="9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eastAsia="zh-CN"/>
        </w:rPr>
        <w:t>吴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eastAsia="zh-CN"/>
        </w:rPr>
        <w:t>忠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eastAsia="zh-CN"/>
        </w:rPr>
        <w:t>市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eastAsia="zh-CN"/>
        </w:rPr>
        <w:t>利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eastAsia="zh-CN"/>
        </w:rPr>
        <w:t>通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eastAsia="zh-CN"/>
        </w:rPr>
        <w:t>区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eastAsia="zh-CN"/>
        </w:rPr>
        <w:t>发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eastAsia="zh-CN"/>
        </w:rPr>
        <w:t>展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eastAsia="zh-CN"/>
        </w:rPr>
        <w:t>和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eastAsia="zh-CN"/>
        </w:rPr>
        <w:t>改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eastAsia="zh-CN"/>
        </w:rPr>
        <w:t>革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eastAsia="zh-CN"/>
        </w:rPr>
        <w:t>局</w:t>
      </w:r>
    </w:p>
    <w:p>
      <w:pPr>
        <w:framePr w:w="7935" w:h="5639" w:hRule="exact" w:wrap="auto" w:vAnchor="page" w:hAnchor="page" w:x="1811" w:y="1678"/>
        <w:widowControl w:val="0"/>
        <w:autoSpaceDE w:val="0"/>
        <w:autoSpaceDN w:val="0"/>
        <w:spacing w:before="200" w:after="0" w:line="595" w:lineRule="exact"/>
        <w:ind w:left="0" w:right="0" w:firstLine="0"/>
        <w:jc w:val="both"/>
        <w:rPr>
          <w:rFonts w:hint="eastAsia" w:ascii="方正小标宋_GBK" w:hAnsi="方正小标宋_GBK" w:eastAsia="方正小标宋_GBK" w:cs="方正小标宋_GBK"/>
          <w:color w:val="000000"/>
          <w:spacing w:val="0"/>
          <w:w w:val="86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eastAsia="zh-CN"/>
        </w:rPr>
        <w:t>吴</w:t>
      </w: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eastAsia="zh-CN"/>
        </w:rPr>
        <w:t>忠</w:t>
      </w: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eastAsia="zh-CN"/>
        </w:rPr>
        <w:t>市</w:t>
      </w: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eastAsia="zh-CN"/>
        </w:rPr>
        <w:t>利</w:t>
      </w: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eastAsia="zh-CN"/>
        </w:rPr>
        <w:t>通</w:t>
      </w: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eastAsia="zh-CN"/>
        </w:rPr>
        <w:t>区</w:t>
      </w: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eastAsia="zh-CN"/>
        </w:rPr>
        <w:t>卫</w:t>
      </w: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eastAsia="zh-CN"/>
        </w:rPr>
        <w:t>生</w:t>
      </w: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eastAsia="zh-CN"/>
        </w:rPr>
        <w:t>健</w:t>
      </w: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eastAsia="zh-CN"/>
        </w:rPr>
        <w:t>康</w:t>
      </w: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eastAsia="zh-CN"/>
        </w:rPr>
        <w:t>局</w:t>
      </w:r>
    </w:p>
    <w:p>
      <w:pPr>
        <w:framePr w:w="7935" w:h="5639" w:hRule="exact" w:wrap="auto" w:vAnchor="page" w:hAnchor="page" w:x="1811" w:y="1678"/>
        <w:widowControl w:val="0"/>
        <w:tabs>
          <w:tab w:val="right" w:pos="7725"/>
        </w:tabs>
        <w:autoSpaceDE w:val="0"/>
        <w:autoSpaceDN w:val="0"/>
        <w:spacing w:before="200" w:after="0" w:line="595" w:lineRule="exact"/>
        <w:ind w:left="0" w:right="0" w:firstLine="0"/>
        <w:jc w:val="both"/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eastAsia="zh-CN"/>
        </w:rPr>
        <w:t>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eastAsia="zh-CN"/>
        </w:rPr>
        <w:t>忠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eastAsia="zh-CN"/>
        </w:rPr>
        <w:t>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eastAsia="zh-CN"/>
        </w:rPr>
        <w:t>利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eastAsia="zh-CN"/>
        </w:rPr>
        <w:t>通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eastAsia="zh-CN"/>
        </w:rPr>
        <w:t>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eastAsia="zh-CN"/>
        </w:rPr>
        <w:t>住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eastAsia="zh-CN"/>
        </w:rPr>
        <w:t>房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eastAsia="zh-CN"/>
        </w:rPr>
        <w:t>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eastAsia="zh-CN"/>
        </w:rPr>
        <w:t>乡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eastAsia="zh-CN"/>
        </w:rPr>
        <w:t>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eastAsia="zh-CN"/>
        </w:rPr>
        <w:t>设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eastAsia="zh-CN"/>
        </w:rPr>
        <w:t>和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eastAsia="zh-CN"/>
        </w:rPr>
        <w:t>交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eastAsia="zh-CN"/>
        </w:rPr>
        <w:t>通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eastAsia="zh-CN"/>
        </w:rPr>
        <w:t>局</w:t>
      </w:r>
    </w:p>
    <w:p>
      <w:pPr>
        <w:framePr w:w="7935" w:h="5639" w:hRule="exact" w:wrap="auto" w:vAnchor="page" w:hAnchor="page" w:x="1811" w:y="1678"/>
        <w:widowControl w:val="0"/>
        <w:autoSpaceDE w:val="0"/>
        <w:autoSpaceDN w:val="0"/>
        <w:spacing w:before="197" w:after="0" w:line="595" w:lineRule="exact"/>
        <w:ind w:left="0" w:right="0" w:firstLine="0"/>
        <w:jc w:val="both"/>
        <w:rPr>
          <w:rFonts w:hint="eastAsia" w:ascii="方正小标宋_GBK" w:hAnsi="方正小标宋_GBK" w:eastAsia="方正小标宋_GBK" w:cs="方正小标宋_GBK"/>
          <w:color w:val="000000"/>
          <w:spacing w:val="0"/>
          <w:w w:val="86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eastAsia="zh-CN"/>
        </w:rPr>
        <w:t>吴忠市利通区市场监督管理局利通区分局</w:t>
      </w:r>
    </w:p>
    <w:p>
      <w:pPr>
        <w:framePr w:w="7935" w:h="5639" w:hRule="exact" w:wrap="auto" w:vAnchor="page" w:hAnchor="page" w:x="1811" w:y="1678"/>
        <w:widowControl w:val="0"/>
        <w:autoSpaceDE w:val="0"/>
        <w:autoSpaceDN w:val="0"/>
        <w:spacing w:before="200" w:after="0" w:line="595" w:lineRule="exact"/>
        <w:ind w:left="0" w:right="0" w:firstLine="0"/>
        <w:jc w:val="both"/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eastAsia="zh-CN"/>
        </w:rPr>
        <w:t>吴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eastAsia="zh-CN"/>
        </w:rPr>
        <w:t>忠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eastAsia="zh-CN"/>
        </w:rPr>
        <w:t>市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eastAsia="zh-CN"/>
        </w:rPr>
        <w:t>利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eastAsia="zh-CN"/>
        </w:rPr>
        <w:t>通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eastAsia="zh-CN"/>
        </w:rPr>
        <w:t>区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eastAsia="zh-CN"/>
        </w:rPr>
        <w:t>应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eastAsia="zh-CN"/>
        </w:rPr>
        <w:t>急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eastAsia="zh-CN"/>
        </w:rPr>
        <w:t>管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eastAsia="zh-CN"/>
        </w:rPr>
        <w:t>理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eastAsia="zh-CN"/>
        </w:rPr>
        <w:t>局</w:t>
      </w:r>
    </w:p>
    <w:p>
      <w:pPr>
        <w:framePr w:w="7935" w:h="5639" w:hRule="exact" w:wrap="auto" w:vAnchor="page" w:hAnchor="page" w:x="1811" w:y="1678"/>
        <w:widowControl w:val="0"/>
        <w:autoSpaceDE w:val="0"/>
        <w:autoSpaceDN w:val="0"/>
        <w:spacing w:before="207" w:after="0" w:line="595" w:lineRule="exact"/>
        <w:ind w:left="440" w:right="0" w:hanging="422" w:hangingChars="100"/>
        <w:jc w:val="both"/>
        <w:rPr>
          <w:rFonts w:hint="eastAsia" w:ascii="方正小标宋_GBK" w:hAnsi="方正小标宋_GBK" w:eastAsia="方正小标宋_GBK" w:cs="方正小标宋_GBK"/>
          <w:color w:val="000000"/>
          <w:spacing w:val="0"/>
          <w:w w:val="96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eastAsia="zh-CN"/>
        </w:rPr>
        <w:t>吴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eastAsia="zh-CN"/>
        </w:rPr>
        <w:t>忠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eastAsia="zh-CN"/>
        </w:rPr>
        <w:t>市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eastAsia="zh-CN"/>
        </w:rPr>
        <w:t>利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eastAsia="zh-CN"/>
        </w:rPr>
        <w:t>通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eastAsia="zh-CN"/>
        </w:rPr>
        <w:t>区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eastAsia="zh-CN"/>
        </w:rPr>
        <w:t>消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eastAsia="zh-CN"/>
        </w:rPr>
        <w:t>防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eastAsia="zh-CN"/>
        </w:rPr>
        <w:t>救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eastAsia="zh-CN"/>
        </w:rPr>
        <w:t>援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eastAsia="zh-CN"/>
        </w:rPr>
        <w:t>大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eastAsia="zh-CN"/>
        </w:rPr>
        <w:t>队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framePr w:w="1920" w:wrap="auto" w:vAnchor="page" w:hAnchor="page" w:x="9655" w:y="4175"/>
        <w:widowControl w:val="0"/>
        <w:autoSpaceDE w:val="0"/>
        <w:autoSpaceDN w:val="0"/>
        <w:spacing w:before="0" w:after="0" w:line="1001" w:lineRule="exact"/>
        <w:ind w:left="0" w:right="0" w:firstLine="0"/>
        <w:jc w:val="left"/>
        <w:rPr>
          <w:rFonts w:ascii="Times New Roman"/>
          <w:color w:val="000000"/>
          <w:spacing w:val="0"/>
          <w:sz w:val="8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sz w:val="84"/>
          <w:szCs w:val="84"/>
        </w:rPr>
        <w:t>文件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133" w:line="207" w:lineRule="auto"/>
        <w:ind w:left="311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eastAsia="zh-CN"/>
        </w:rPr>
        <w:t>吴利民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发〔202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号</w:t>
      </w:r>
    </w:p>
    <w:p>
      <w:pPr>
        <w:spacing w:before="14" w:line="36" w:lineRule="exact"/>
        <w:ind w:firstLine="1"/>
        <w:textAlignment w:val="center"/>
      </w:pPr>
      <w:r>
        <w:drawing>
          <wp:inline distT="0" distB="0" distL="0" distR="0">
            <wp:extent cx="5760720" cy="2222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1264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1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0" w:line="560" w:lineRule="exact"/>
        <w:ind w:left="153" w:right="298" w:hanging="6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171A1D"/>
          <w:spacing w:val="1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171A1D"/>
          <w:spacing w:val="12"/>
          <w:w w:val="96"/>
          <w:sz w:val="44"/>
          <w:szCs w:val="44"/>
          <w:lang w:eastAsia="zh-CN"/>
        </w:rPr>
        <w:t>吴忠市利通区民政局</w:t>
      </w:r>
      <w:r>
        <w:rPr>
          <w:rFonts w:hint="eastAsia" w:ascii="方正小标宋_GBK" w:hAnsi="方正小标宋_GBK" w:eastAsia="方正小标宋_GBK" w:cs="方正小标宋_GBK"/>
          <w:color w:val="171A1D"/>
          <w:spacing w:val="12"/>
          <w:w w:val="9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171A1D"/>
          <w:spacing w:val="6"/>
          <w:w w:val="96"/>
          <w:sz w:val="44"/>
          <w:szCs w:val="44"/>
        </w:rPr>
        <w:t>发展</w:t>
      </w:r>
      <w:r>
        <w:rPr>
          <w:rFonts w:hint="eastAsia" w:ascii="方正小标宋_GBK" w:hAnsi="方正小标宋_GBK" w:eastAsia="方正小标宋_GBK" w:cs="方正小标宋_GBK"/>
          <w:color w:val="171A1D"/>
          <w:spacing w:val="6"/>
          <w:w w:val="96"/>
          <w:sz w:val="44"/>
          <w:szCs w:val="44"/>
          <w:lang w:eastAsia="zh-CN"/>
        </w:rPr>
        <w:t>和</w:t>
      </w:r>
      <w:r>
        <w:rPr>
          <w:rFonts w:hint="eastAsia" w:ascii="方正小标宋_GBK" w:hAnsi="方正小标宋_GBK" w:eastAsia="方正小标宋_GBK" w:cs="方正小标宋_GBK"/>
          <w:color w:val="171A1D"/>
          <w:spacing w:val="6"/>
          <w:w w:val="96"/>
          <w:sz w:val="44"/>
          <w:szCs w:val="44"/>
        </w:rPr>
        <w:t>改革</w:t>
      </w:r>
      <w:r>
        <w:rPr>
          <w:rFonts w:hint="eastAsia" w:ascii="方正小标宋_GBK" w:hAnsi="方正小标宋_GBK" w:eastAsia="方正小标宋_GBK" w:cs="方正小标宋_GBK"/>
          <w:color w:val="171A1D"/>
          <w:spacing w:val="6"/>
          <w:w w:val="96"/>
          <w:sz w:val="44"/>
          <w:szCs w:val="44"/>
          <w:lang w:eastAsia="zh-CN"/>
        </w:rPr>
        <w:t>局</w:t>
      </w:r>
      <w:r>
        <w:rPr>
          <w:rFonts w:hint="eastAsia" w:ascii="方正小标宋_GBK" w:hAnsi="方正小标宋_GBK" w:eastAsia="方正小标宋_GBK" w:cs="方正小标宋_GBK"/>
          <w:color w:val="171A1D"/>
          <w:spacing w:val="6"/>
          <w:w w:val="9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171A1D"/>
          <w:spacing w:val="6"/>
          <w:w w:val="96"/>
          <w:sz w:val="44"/>
          <w:szCs w:val="44"/>
        </w:rPr>
        <w:t>卫生健康</w:t>
      </w:r>
      <w:r>
        <w:rPr>
          <w:rFonts w:hint="eastAsia" w:ascii="方正小标宋_GBK" w:hAnsi="方正小标宋_GBK" w:eastAsia="方正小标宋_GBK" w:cs="方正小标宋_GBK"/>
          <w:color w:val="171A1D"/>
          <w:spacing w:val="6"/>
          <w:w w:val="98"/>
          <w:sz w:val="44"/>
          <w:szCs w:val="44"/>
          <w:lang w:eastAsia="zh-CN"/>
        </w:rPr>
        <w:t>局</w:t>
      </w:r>
      <w:r>
        <w:rPr>
          <w:rFonts w:hint="eastAsia" w:ascii="方正小标宋_GBK" w:hAnsi="方正小标宋_GBK" w:eastAsia="方正小标宋_GBK" w:cs="方正小标宋_GBK"/>
          <w:color w:val="171A1D"/>
          <w:spacing w:val="6"/>
          <w:w w:val="98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171A1D"/>
          <w:spacing w:val="6"/>
          <w:w w:val="98"/>
          <w:sz w:val="44"/>
          <w:szCs w:val="44"/>
          <w:lang w:eastAsia="zh-CN"/>
        </w:rPr>
        <w:t>住房城乡建设和交通局</w:t>
      </w:r>
      <w:r>
        <w:rPr>
          <w:rFonts w:hint="eastAsia" w:ascii="方正小标宋_GBK" w:hAnsi="方正小标宋_GBK" w:eastAsia="方正小标宋_GBK" w:cs="方正小标宋_GBK"/>
          <w:color w:val="171A1D"/>
          <w:spacing w:val="6"/>
          <w:w w:val="98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w w:val="98"/>
          <w:sz w:val="44"/>
          <w:szCs w:val="44"/>
          <w:lang w:val="en-US" w:eastAsia="zh-CN"/>
        </w:rPr>
        <w:t>市场监督管理局利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val="en-US" w:eastAsia="zh-CN"/>
        </w:rPr>
        <w:t xml:space="preserve">通区分局 应急管理局 </w:t>
      </w:r>
      <w:r>
        <w:rPr>
          <w:rFonts w:hint="eastAsia" w:ascii="方正小标宋_GBK" w:hAnsi="方正小标宋_GBK" w:eastAsia="方正小标宋_GBK" w:cs="方正小标宋_GBK"/>
          <w:w w:val="96"/>
          <w:sz w:val="44"/>
          <w:szCs w:val="44"/>
          <w:lang w:val="en-US" w:eastAsia="zh-CN"/>
        </w:rPr>
        <w:t>消防救援大队关于印发     《全区乡镇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val="en-US" w:eastAsia="zh-CN"/>
        </w:rPr>
        <w:t>养老服务能力提升三年行动方案》（2023-2025年）的通知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0" w:line="560" w:lineRule="exact"/>
        <w:ind w:left="153" w:right="298" w:hanging="6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/>
        </w:rPr>
        <w:sectPr>
          <w:footerReference r:id="rId5" w:type="default"/>
          <w:pgSz w:w="11906" w:h="16838"/>
          <w:pgMar w:top="1431" w:right="1139" w:bottom="1723" w:left="1456" w:header="0" w:footer="1440" w:gutter="0"/>
          <w:cols w:space="720" w:num="1"/>
        </w:sectPr>
      </w:pPr>
      <w:r>
        <w:rPr>
          <w:rFonts w:hint="eastAsia" w:ascii="仿宋_GB2312" w:hAnsi="仿宋_GB2312" w:eastAsia="仿宋_GB2312" w:cs="仿宋_GB2312"/>
          <w:color w:val="171A1D"/>
          <w:spacing w:val="12"/>
          <w:sz w:val="32"/>
          <w:szCs w:val="32"/>
        </w:rPr>
        <w:t>各市</w:t>
      </w:r>
      <w:r>
        <w:rPr>
          <w:rFonts w:hint="eastAsia" w:ascii="仿宋_GB2312" w:hAnsi="仿宋_GB2312" w:eastAsia="仿宋_GB2312" w:cs="仿宋_GB2312"/>
          <w:color w:val="171A1D"/>
          <w:spacing w:val="9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171A1D"/>
          <w:spacing w:val="6"/>
          <w:sz w:val="32"/>
          <w:szCs w:val="32"/>
        </w:rPr>
        <w:t>县(区)民政局、发展</w:t>
      </w:r>
      <w:r>
        <w:rPr>
          <w:rFonts w:hint="eastAsia" w:ascii="仿宋_GB2312" w:hAnsi="仿宋_GB2312" w:eastAsia="仿宋_GB2312" w:cs="仿宋_GB2312"/>
          <w:color w:val="171A1D"/>
          <w:spacing w:val="6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171A1D"/>
          <w:spacing w:val="6"/>
          <w:sz w:val="32"/>
          <w:szCs w:val="32"/>
        </w:rPr>
        <w:t>改革局、卫生健康局、住</w:t>
      </w:r>
      <w:r>
        <w:rPr>
          <w:rFonts w:hint="eastAsia" w:ascii="仿宋_GB2312" w:hAnsi="仿宋_GB2312" w:eastAsia="仿宋_GB2312" w:cs="仿宋_GB2312"/>
          <w:color w:val="171A1D"/>
          <w:spacing w:val="-8"/>
          <w:sz w:val="32"/>
          <w:szCs w:val="32"/>
        </w:rPr>
        <w:t>房城乡</w:t>
      </w:r>
      <w:r>
        <w:rPr>
          <w:rFonts w:hint="eastAsia" w:ascii="仿宋_GB2312" w:hAnsi="仿宋_GB2312" w:eastAsia="仿宋_GB2312" w:cs="仿宋_GB2312"/>
          <w:color w:val="171A1D"/>
          <w:spacing w:val="-5"/>
          <w:sz w:val="32"/>
          <w:szCs w:val="32"/>
        </w:rPr>
        <w:t>建</w:t>
      </w:r>
      <w:r>
        <w:rPr>
          <w:rFonts w:hint="eastAsia" w:ascii="仿宋_GB2312" w:hAnsi="仿宋_GB2312" w:eastAsia="仿宋_GB2312" w:cs="仿宋_GB2312"/>
          <w:color w:val="171A1D"/>
          <w:spacing w:val="-4"/>
          <w:sz w:val="32"/>
          <w:szCs w:val="32"/>
        </w:rPr>
        <w:t>设</w:t>
      </w:r>
      <w:r>
        <w:rPr>
          <w:rFonts w:hint="eastAsia" w:ascii="仿宋_GB2312" w:hAnsi="仿宋_GB2312" w:eastAsia="仿宋_GB2312" w:cs="仿宋_GB2312"/>
          <w:color w:val="171A1D"/>
          <w:spacing w:val="-4"/>
          <w:sz w:val="32"/>
          <w:szCs w:val="32"/>
          <w:lang w:eastAsia="zh-CN"/>
        </w:rPr>
        <w:t>和交通</w:t>
      </w:r>
      <w:r>
        <w:rPr>
          <w:rFonts w:hint="eastAsia" w:ascii="仿宋_GB2312" w:hAnsi="仿宋_GB2312" w:eastAsia="仿宋_GB2312" w:cs="仿宋_GB2312"/>
          <w:color w:val="171A1D"/>
          <w:spacing w:val="-4"/>
          <w:sz w:val="32"/>
          <w:szCs w:val="32"/>
        </w:rPr>
        <w:t>局、市场监督管理局</w:t>
      </w:r>
      <w:r>
        <w:rPr>
          <w:rFonts w:hint="eastAsia" w:ascii="仿宋_GB2312" w:hAnsi="仿宋_GB2312" w:eastAsia="仿宋_GB2312" w:cs="仿宋_GB2312"/>
          <w:color w:val="171A1D"/>
          <w:spacing w:val="-4"/>
          <w:sz w:val="32"/>
          <w:szCs w:val="32"/>
          <w:lang w:eastAsia="zh-CN"/>
        </w:rPr>
        <w:t>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171A1D"/>
          <w:spacing w:val="-4"/>
          <w:sz w:val="32"/>
          <w:szCs w:val="32"/>
          <w:lang w:eastAsia="zh-CN"/>
        </w:rPr>
        <w:t>通区分局</w:t>
      </w:r>
      <w:r>
        <w:rPr>
          <w:rFonts w:hint="eastAsia" w:ascii="仿宋_GB2312" w:hAnsi="仿宋_GB2312" w:eastAsia="仿宋_GB2312" w:cs="仿宋_GB2312"/>
          <w:color w:val="171A1D"/>
          <w:spacing w:val="-4"/>
          <w:sz w:val="32"/>
          <w:szCs w:val="32"/>
        </w:rPr>
        <w:t>、应急管理局、消防救援</w:t>
      </w:r>
      <w:r>
        <w:rPr>
          <w:rFonts w:hint="eastAsia" w:ascii="仿宋_GB2312" w:hAnsi="仿宋_GB2312" w:eastAsia="仿宋_GB2312" w:cs="仿宋_GB2312"/>
          <w:color w:val="171A1D"/>
          <w:spacing w:val="-4"/>
          <w:sz w:val="32"/>
          <w:szCs w:val="32"/>
          <w:lang w:eastAsia="zh-CN"/>
        </w:rPr>
        <w:t>大队：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s1029" o:spid="_x0000_s1029" o:spt="202" type="#_x0000_t202" style="position:absolute;left:0pt;margin-left:289.8pt;margin-top:408.4pt;height:24.9pt;width:219.8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06" w:lineRule="auto"/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</w:pPr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1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560" w:lineRule="exact"/>
        <w:ind w:firstLine="671"/>
        <w:textAlignment w:val="baseline"/>
        <w:rPr>
          <w:rFonts w:ascii="微软雅黑" w:hAnsi="微软雅黑" w:eastAsia="微软雅黑" w:cs="微软雅黑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将《全区乡镇(街道)养老服务能力提升三年行动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eastAsia="zh-CN"/>
        </w:rPr>
        <w:t>方案》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2023-2025年)印发给你们，请遵照执行。</w:t>
      </w:r>
    </w:p>
    <w:p/>
    <w:p/>
    <w:p/>
    <w:p/>
    <w:p/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吴忠市利通区民政局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吴忠市利通区发展和改革局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吴忠市利通区卫生健康局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>吴忠市利通区住房城乡建设和交通局</w:t>
      </w:r>
    </w:p>
    <w:p>
      <w:pPr>
        <w:jc w:val="left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85"/>
          <w:sz w:val="32"/>
          <w:szCs w:val="32"/>
          <w:lang w:val="en-US" w:eastAsia="zh-CN"/>
        </w:rPr>
        <w:t>吴忠市利通区市场监督管理局利通区分局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吴忠市利通区应急管理局</w:t>
      </w:r>
    </w:p>
    <w:p>
      <w:pPr>
        <w:jc w:val="left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                         吴忠市利通区消防救援大队</w:t>
      </w:r>
    </w:p>
    <w:p>
      <w:pPr>
        <w:jc w:val="left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</w:pPr>
    </w:p>
    <w:p>
      <w:pPr>
        <w:ind w:firstLine="5760" w:firstLineChars="1800"/>
        <w:jc w:val="left"/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  <w:sectPr>
          <w:footerReference r:id="rId6" w:type="default"/>
          <w:pgSz w:w="11906" w:h="16838"/>
          <w:pgMar w:top="1431" w:right="1294" w:bottom="1722" w:left="1577" w:header="0" w:footer="1440" w:gutter="0"/>
          <w:cols w:space="720" w:num="1"/>
        </w:sect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2023年2月7日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204" w:lineRule="auto"/>
        <w:ind w:left="901" w:right="1032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40"/>
          <w:sz w:val="44"/>
          <w:szCs w:val="44"/>
        </w:rPr>
        <w:t>全</w:t>
      </w:r>
      <w:r>
        <w:rPr>
          <w:rFonts w:hint="eastAsia" w:ascii="方正小标宋_GBK" w:hAnsi="方正小标宋_GBK" w:eastAsia="方正小标宋_GBK" w:cs="方正小标宋_GBK"/>
          <w:spacing w:val="35"/>
          <w:sz w:val="44"/>
          <w:szCs w:val="44"/>
        </w:rPr>
        <w:t>区乡镇养老服务能力提升</w:t>
      </w:r>
      <w:r>
        <w:rPr>
          <w:rFonts w:hint="eastAsia" w:ascii="方正小标宋_GBK" w:hAnsi="方正小标宋_GBK" w:eastAsia="方正小标宋_GBK" w:cs="方正小标宋_GBK"/>
          <w:spacing w:val="13"/>
          <w:sz w:val="44"/>
          <w:szCs w:val="44"/>
        </w:rPr>
        <w:t>三年</w:t>
      </w:r>
      <w:r>
        <w:rPr>
          <w:rFonts w:hint="eastAsia" w:ascii="方正小标宋_GBK" w:hAnsi="方正小标宋_GBK" w:eastAsia="方正小标宋_GBK" w:cs="方正小标宋_GBK"/>
          <w:spacing w:val="13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13"/>
          <w:sz w:val="44"/>
          <w:szCs w:val="44"/>
        </w:rPr>
        <w:t>行动方案(2023-2025年</w:t>
      </w:r>
      <w:r>
        <w:rPr>
          <w:rFonts w:hint="eastAsia" w:ascii="方正小标宋_GBK" w:hAnsi="方正小标宋_GBK" w:eastAsia="方正小标宋_GBK" w:cs="方正小标宋_GBK"/>
          <w:spacing w:val="11"/>
          <w:sz w:val="44"/>
          <w:szCs w:val="44"/>
        </w:rPr>
        <w:t>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6" w:line="560" w:lineRule="exact"/>
        <w:ind w:right="0"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w w:val="100"/>
          <w:sz w:val="32"/>
          <w:szCs w:val="32"/>
        </w:rPr>
        <w:t>为深入学习贯彻党的二十大精神</w:t>
      </w:r>
      <w:r>
        <w:rPr>
          <w:rFonts w:hint="eastAsia" w:ascii="仿宋_GB2312" w:hAnsi="仿宋_GB2312" w:eastAsia="仿宋_GB2312" w:cs="仿宋_GB2312"/>
          <w:spacing w:val="1"/>
          <w:w w:val="10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1"/>
          <w:w w:val="100"/>
          <w:sz w:val="32"/>
          <w:szCs w:val="32"/>
        </w:rPr>
        <w:t>贯彻落实《中共中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 xml:space="preserve">央办公 </w:t>
      </w:r>
      <w:r>
        <w:rPr>
          <w:rFonts w:hint="eastAsia" w:ascii="仿宋_GB2312" w:hAnsi="仿宋_GB2312" w:eastAsia="仿宋_GB2312" w:cs="仿宋_GB2312"/>
          <w:spacing w:val="3"/>
          <w:w w:val="100"/>
          <w:sz w:val="32"/>
          <w:szCs w:val="32"/>
        </w:rPr>
        <w:t>厅国务院办公厅关于推进基本养老服务体系建设的意见》(中</w:t>
      </w:r>
      <w:r>
        <w:rPr>
          <w:rFonts w:hint="eastAsia" w:ascii="仿宋_GB2312" w:hAnsi="仿宋_GB2312" w:eastAsia="仿宋_GB2312" w:cs="仿宋_GB2312"/>
          <w:spacing w:val="1"/>
          <w:w w:val="100"/>
          <w:sz w:val="32"/>
          <w:szCs w:val="32"/>
        </w:rPr>
        <w:t>办</w:t>
      </w:r>
      <w:r>
        <w:rPr>
          <w:rFonts w:hint="eastAsia" w:ascii="仿宋_GB2312" w:hAnsi="仿宋_GB2312" w:eastAsia="仿宋_GB2312" w:cs="仿宋_GB2312"/>
          <w:spacing w:val="-16"/>
          <w:w w:val="100"/>
          <w:sz w:val="32"/>
          <w:szCs w:val="32"/>
        </w:rPr>
        <w:t>发</w:t>
      </w:r>
      <w:r>
        <w:rPr>
          <w:rFonts w:hint="eastAsia" w:ascii="仿宋_GB2312" w:hAnsi="仿宋_GB2312" w:eastAsia="仿宋_GB2312" w:cs="仿宋_GB2312"/>
          <w:spacing w:val="-8"/>
          <w:w w:val="100"/>
          <w:sz w:val="32"/>
          <w:szCs w:val="32"/>
        </w:rPr>
        <w:t>〔2022〕42 号 )、《“十四五”国家老龄事业发展和养老服务体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w w:val="100"/>
          <w:sz w:val="32"/>
          <w:szCs w:val="32"/>
        </w:rPr>
        <w:t>系规</w:t>
      </w:r>
      <w:r>
        <w:rPr>
          <w:rFonts w:hint="eastAsia" w:ascii="仿宋_GB2312" w:hAnsi="仿宋_GB2312" w:eastAsia="仿宋_GB2312" w:cs="仿宋_GB2312"/>
          <w:spacing w:val="-13"/>
          <w:w w:val="100"/>
          <w:sz w:val="32"/>
          <w:szCs w:val="32"/>
        </w:rPr>
        <w:t>划</w:t>
      </w:r>
      <w:r>
        <w:rPr>
          <w:rFonts w:hint="eastAsia" w:ascii="仿宋_GB2312" w:hAnsi="仿宋_GB2312" w:eastAsia="仿宋_GB2312" w:cs="仿宋_GB2312"/>
          <w:spacing w:val="-9"/>
          <w:w w:val="100"/>
          <w:sz w:val="32"/>
          <w:szCs w:val="32"/>
        </w:rPr>
        <w:t>》( 国发〔2021〕35号 )、《宁夏回族自治区养老服务体系</w:t>
      </w:r>
      <w:r>
        <w:rPr>
          <w:rFonts w:hint="eastAsia" w:ascii="仿宋_GB2312" w:hAnsi="仿宋_GB2312" w:eastAsia="仿宋_GB2312" w:cs="仿宋_GB2312"/>
          <w:spacing w:val="-2"/>
          <w:w w:val="100"/>
          <w:sz w:val="32"/>
          <w:szCs w:val="32"/>
        </w:rPr>
        <w:t>“十四五”规划》</w:t>
      </w:r>
      <w:r>
        <w:rPr>
          <w:rFonts w:hint="eastAsia" w:ascii="仿宋_GB2312" w:hAnsi="仿宋_GB2312" w:eastAsia="仿宋_GB2312" w:cs="仿宋_GB2312"/>
          <w:spacing w:val="-1"/>
          <w:w w:val="100"/>
          <w:sz w:val="32"/>
          <w:szCs w:val="32"/>
        </w:rPr>
        <w:t>(宁政办发〔2022〕2号)，优化我区养老服</w:t>
      </w:r>
      <w:r>
        <w:rPr>
          <w:rFonts w:hint="eastAsia" w:ascii="仿宋_GB2312" w:hAnsi="仿宋_GB2312" w:eastAsia="仿宋_GB2312" w:cs="仿宋_GB2312"/>
          <w:spacing w:val="3"/>
          <w:w w:val="100"/>
          <w:sz w:val="32"/>
          <w:szCs w:val="32"/>
        </w:rPr>
        <w:t>务</w:t>
      </w:r>
      <w:r>
        <w:rPr>
          <w:rFonts w:hint="eastAsia" w:ascii="仿宋_GB2312" w:hAnsi="仿宋_GB2312" w:eastAsia="仿宋_GB2312" w:cs="仿宋_GB2312"/>
          <w:spacing w:val="2"/>
          <w:w w:val="100"/>
          <w:sz w:val="32"/>
          <w:szCs w:val="32"/>
        </w:rPr>
        <w:t>设施建设布局，健全完善四级养老服务网络，切实提高乡镇(街</w:t>
      </w:r>
      <w:r>
        <w:rPr>
          <w:rFonts w:hint="eastAsia" w:ascii="仿宋_GB2312" w:hAnsi="仿宋_GB2312" w:eastAsia="仿宋_GB2312" w:cs="仿宋_GB2312"/>
          <w:spacing w:val="6"/>
          <w:w w:val="100"/>
          <w:sz w:val="32"/>
          <w:szCs w:val="32"/>
        </w:rPr>
        <w:t>道)</w:t>
      </w:r>
      <w:r>
        <w:rPr>
          <w:rFonts w:hint="eastAsia" w:ascii="仿宋_GB2312" w:hAnsi="仿宋_GB2312" w:eastAsia="仿宋_GB2312" w:cs="仿宋_GB2312"/>
          <w:spacing w:val="3"/>
          <w:w w:val="100"/>
          <w:sz w:val="32"/>
          <w:szCs w:val="32"/>
        </w:rPr>
        <w:t>养老服务能力，现制定如下行动方案：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655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17"/>
          <w:sz w:val="32"/>
          <w:szCs w:val="32"/>
        </w:rPr>
        <w:t>一</w:t>
      </w:r>
      <w:r>
        <w:rPr>
          <w:rFonts w:hint="eastAsia" w:ascii="黑体" w:hAnsi="黑体" w:eastAsia="黑体" w:cs="黑体"/>
          <w:spacing w:val="-16"/>
          <w:sz w:val="32"/>
          <w:szCs w:val="32"/>
        </w:rPr>
        <w:t>、 总体要求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560" w:lineRule="exact"/>
        <w:ind w:firstLine="70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pacing w:val="16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hint="eastAsia" w:ascii="楷体" w:hAnsi="楷体" w:eastAsia="楷体" w:cs="楷体"/>
          <w:b w:val="0"/>
          <w:bCs w:val="0"/>
          <w:spacing w:val="8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一)</w:t>
      </w:r>
      <w:r>
        <w:rPr>
          <w:rFonts w:hint="eastAsia" w:ascii="楷体" w:hAnsi="楷体" w:eastAsia="楷体" w:cs="楷体"/>
          <w:b w:val="0"/>
          <w:bCs w:val="0"/>
          <w:spacing w:val="8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pacing w:val="8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重要意义。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习近平总书记在党的二十大报告中指出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“实施积极应对人口老龄化国家战略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发展养老事业和养老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产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优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化孤寡老人服务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推动实现全体老年人享有基本养老服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务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《“十四五”国家老龄事业发展和养老服务体系规划》和《宁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夏回族自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治区养老服务体系“十四五”规划》明确提出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</w:rPr>
        <w:t>在乡</w:t>
      </w:r>
      <w:r>
        <w:rPr>
          <w:rFonts w:hint="eastAsia" w:ascii="仿宋_GB2312" w:hAnsi="仿宋_GB2312" w:eastAsia="仿宋_GB2312" w:cs="仿宋_GB2312"/>
          <w:spacing w:val="-12"/>
          <w:w w:val="99"/>
          <w:sz w:val="32"/>
          <w:szCs w:val="32"/>
        </w:rPr>
        <w:t>镇 (街</w:t>
      </w:r>
      <w:r>
        <w:rPr>
          <w:rFonts w:hint="eastAsia" w:ascii="仿宋_GB2312" w:hAnsi="仿宋_GB2312" w:eastAsia="仿宋_GB2312" w:cs="仿宋_GB2312"/>
          <w:spacing w:val="-8"/>
          <w:w w:val="99"/>
          <w:sz w:val="32"/>
          <w:szCs w:val="32"/>
        </w:rPr>
        <w:t>道</w:t>
      </w:r>
      <w:r>
        <w:rPr>
          <w:rFonts w:hint="eastAsia" w:ascii="仿宋_GB2312" w:hAnsi="仿宋_GB2312" w:eastAsia="仿宋_GB2312" w:cs="仿宋_GB2312"/>
          <w:spacing w:val="-6"/>
          <w:w w:val="99"/>
          <w:sz w:val="32"/>
          <w:szCs w:val="32"/>
        </w:rPr>
        <w:t>) 层面，建设具备全日托养、日间照料 、上门服务</w:t>
      </w:r>
      <w:r>
        <w:rPr>
          <w:rFonts w:hint="eastAsia" w:ascii="仿宋_GB2312" w:hAnsi="仿宋_GB2312" w:eastAsia="仿宋_GB2312" w:cs="仿宋_GB2312"/>
          <w:spacing w:val="-6"/>
          <w:w w:val="99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w w:val="99"/>
          <w:sz w:val="32"/>
          <w:szCs w:val="32"/>
        </w:rPr>
        <w:t>供</w:t>
      </w:r>
      <w:r>
        <w:rPr>
          <w:rFonts w:hint="eastAsia" w:ascii="仿宋_GB2312" w:hAnsi="仿宋_GB2312" w:eastAsia="仿宋_GB2312" w:cs="仿宋_GB2312"/>
          <w:spacing w:val="-4"/>
          <w:w w:val="99"/>
          <w:sz w:val="32"/>
          <w:szCs w:val="32"/>
        </w:rPr>
        <w:t>需对接、资源统筹等功能的</w:t>
      </w:r>
      <w:r>
        <w:rPr>
          <w:rFonts w:hint="eastAsia" w:ascii="仿宋_GB2312" w:hAnsi="仿宋_GB2312" w:eastAsia="仿宋_GB2312" w:cs="仿宋_GB2312"/>
          <w:spacing w:val="-3"/>
          <w:w w:val="99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pacing w:val="-2"/>
          <w:w w:val="99"/>
          <w:sz w:val="32"/>
          <w:szCs w:val="32"/>
        </w:rPr>
        <w:t>域养老服务中心。到 2025 年</w:t>
      </w:r>
      <w:r>
        <w:rPr>
          <w:rFonts w:hint="eastAsia" w:ascii="仿宋_GB2312" w:hAnsi="仿宋_GB2312" w:eastAsia="仿宋_GB2312" w:cs="仿宋_GB2312"/>
          <w:spacing w:val="-2"/>
          <w:w w:val="9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2"/>
          <w:w w:val="99"/>
          <w:sz w:val="32"/>
          <w:szCs w:val="32"/>
        </w:rPr>
        <w:t>乡</w:t>
      </w:r>
      <w:r>
        <w:rPr>
          <w:rFonts w:hint="eastAsia" w:ascii="仿宋_GB2312" w:hAnsi="仿宋_GB2312" w:eastAsia="仿宋_GB2312" w:cs="仿宋_GB2312"/>
          <w:spacing w:val="3"/>
          <w:w w:val="99"/>
          <w:sz w:val="32"/>
          <w:szCs w:val="32"/>
        </w:rPr>
        <w:t>镇 (街道)层面区域养老服务中心覆盖率达到60%</w:t>
      </w:r>
      <w:r>
        <w:rPr>
          <w:rFonts w:hint="eastAsia" w:ascii="仿宋_GB2312" w:hAnsi="仿宋_GB2312" w:eastAsia="仿宋_GB2312" w:cs="仿宋_GB2312"/>
          <w:spacing w:val="3"/>
          <w:w w:val="99"/>
          <w:sz w:val="32"/>
          <w:szCs w:val="32"/>
          <w:lang w:eastAsia="zh-CN"/>
        </w:rPr>
        <w:t>，”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我区市级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县(区)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乡镇(街道)、村(社区)四级养老服务网络中，乡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和村(社区)两级设施网络较为薄弱，乡镇(街道)层面综合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养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老中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心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整体发展不足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乡镇(街道)统筹提升养老服务质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量机制不畅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作为最基层的行政机关和政府派出机构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乡镇 (街道)是推动各项法规政策落实到“最后一公里”的关键一环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是优化养 老服务供给、提升养老服务质量的重要力量。提升乡镇(街道) 养老服务能力对于完善我区四级养老服务网络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聚合养老服务资源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畅通养老服务供需机制发挥着重要作用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560" w:lineRule="exact"/>
        <w:ind w:left="8" w:right="85" w:firstLine="661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(二)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指导思想。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坚持以习近平新时代中国特色社会主义思想为指导，深入学习贯彻党的二十大和习近平总书记视察宁夏重 要讲话指示批示精神，全面贯彻落实自治区十三次党代会精神，以满足老年人服务需求为出发点，按照党委领导、政府主导、社会协同、因地制宜的思路，将提升乡镇(街道) 养老服务能力和 深化乡镇(街道) 社会治理改革统筹考虑，压实乡镇(街道)基本养老服务属地责任，强化政策联动、资源整合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供需对接、跨界协同、全员参与，加快形成居家社区机构相协调、医养康养相结合的养老服务体系，不断提升老年人获得感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幸福感、安全感。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3" w:right="118" w:firstLine="666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(三)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主要目标。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有序推进乡镇(街道)综合养老中心建设和乡镇层面医养融合发展，到2023年底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乡镇(街道)综合养老中心或乡镇(街道)医养服务中心覆盖率达到50%，工作运行机制基本建立；到2025年底，乡镇(街道)综合养老中心或乡镇(街道)医养服务中心覆盖率达到60%，乡镇(街道)养老服务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医养结合服务工作机制成熟完善并有所创新，养老及医养结合服务能力持续提升。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9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二、基本原则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0" w:line="560" w:lineRule="exact"/>
        <w:ind w:firstLine="70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(一)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协同推进，完善机制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。以建设乡镇 (街道) 综合养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老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服务中心为抓手，建立养老服务联合体，形成聚合效应，聚焦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辖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区内老年人服务需求，建立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健全议事协商、涉老信息整合等机制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统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筹辖区内养老服务机构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乡镇卫生院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社区卫生服务中心(站)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及各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类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市场服务主体等资源，为辖区内全体老年人提供就近就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便、可及性强的精准服务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60" w:lineRule="exact"/>
        <w:ind w:left="26" w:right="45" w:firstLine="661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(二)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因地制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宜，合理布局。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坚持以需求为导向，因地制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宜，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依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托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既有乡镇敬老院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乡镇卫生院、社区老年人日间照料中心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社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区卫生服务中心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养护院等机构 (项目) 转型提升一批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利用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废弃校舍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厂房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医院等闲置资产改造改建一批；合理规划养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老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服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务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设施空间布局新建一批。养老设施资源集中或乡镇(街道)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辖区内已有养老机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构的，以转型发展、增加其服务及指导职能为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，原则上不再新建(改建)综合养老中心。</w:t>
      </w:r>
    </w:p>
    <w:p>
      <w:pPr>
        <w:keepNext w:val="0"/>
        <w:keepLines w:val="0"/>
        <w:pageBreakBefore w:val="0"/>
        <w:widowControl/>
        <w:tabs>
          <w:tab w:val="left" w:pos="1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560" w:lineRule="exact"/>
        <w:ind w:right="161" w:firstLine="687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(三)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规模适度，发挥实效。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乡镇 (街道) 综合养老服务中 心建设规模适度，要与县级养老机构形成梯度(每个县区要有至少1所县级养老机构)，新建改建项目床位控制在 30 张床位以内，床均面积在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30-40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平方米之间。确保建成后服务辐射乡镇(街道)所辖村居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切实发挥社会效益。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8"/>
        <w:jc w:val="left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</w:rPr>
        <w:t>三、主要任</w:t>
      </w:r>
      <w:r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</w:rPr>
        <w:t>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560" w:lineRule="exact"/>
        <w:ind w:right="58" w:firstLine="70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(一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)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推动既有设施转型升级。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充分利用已有的乡镇敬老院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乡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卫生院、老年养护院等政府投资建设的养老、医疗卫生机构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(项目)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通过资金支持、签订协议、加挂</w:t>
      </w:r>
      <w:r>
        <w:rPr>
          <w:rFonts w:hint="eastAsia" w:ascii="仿宋_GB2312" w:hAnsi="仿宋_GB2312" w:eastAsia="仿宋_GB2312" w:cs="仿宋_GB2312"/>
          <w:sz w:val="32"/>
          <w:szCs w:val="32"/>
        </w:rPr>
        <w:t>牌子，在设施和人员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配备上补齐短板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在服务质量上对照提高，联动乡镇范围内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老</w:t>
      </w:r>
      <w:r>
        <w:rPr>
          <w:rFonts w:hint="eastAsia" w:ascii="仿宋_GB2312" w:hAnsi="仿宋_GB2312" w:eastAsia="仿宋_GB2312" w:cs="仿宋_GB2312"/>
          <w:sz w:val="32"/>
          <w:szCs w:val="32"/>
        </w:rPr>
        <w:t>饭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桌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、农村幸福院等养老服务设施，发展为具备全日托养、日间照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料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上门服务、区域协调指导等综合功能的乡镇 (街道)层面的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区域养老服务机构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各县( 市、区 )要制定乡镇敬老院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乡镇卫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生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院、社区老年人日间照料中心转型为综合养老服务中心或医养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服务中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心的实施方案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明确工作要求、工作任务、运营管理模式、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推进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间安排等。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560" w:lineRule="exact"/>
        <w:ind w:left="50" w:right="102" w:firstLine="648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)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明确新建、改建项目建设标准。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坚持项目公益属性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可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探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索引进养老运营机构早期介入，全程参与项目工程建设。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60" w:lineRule="exact"/>
        <w:ind w:left="36" w:right="178" w:firstLine="666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建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设标准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各地要科学规划乡镇 (街道) 综合养老服务中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心建设用地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面积、功能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依照《特困人员供养服务设施 (敬老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院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建设标准》(建标 184-2017)、《养老机构服务质量基本规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范》( </w:t>
      </w:r>
      <w:r>
        <w:rPr>
          <w:rFonts w:hint="eastAsia" w:ascii="仿宋_GB2312" w:hAnsi="仿宋_GB2312" w:eastAsia="仿宋_GB2312" w:cs="仿宋_GB2312"/>
          <w:sz w:val="32"/>
          <w:szCs w:val="32"/>
        </w:rPr>
        <w:t>GB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T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35796-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2017 )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《老年人养护院建设标准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(建标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4-2010)等标准规范，合理确定项目建设内容和建设规模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避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免贪大求全、资源浪费。</w:t>
      </w:r>
    </w:p>
    <w:p>
      <w:pPr>
        <w:keepNext w:val="0"/>
        <w:keepLines w:val="0"/>
        <w:pageBreakBefore w:val="0"/>
        <w:widowControl/>
        <w:tabs>
          <w:tab w:val="left" w:pos="16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" w:line="560" w:lineRule="exact"/>
        <w:ind w:firstLine="678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2"/>
          <w:sz w:val="32"/>
          <w:szCs w:val="32"/>
        </w:rPr>
        <w:t>建</w:t>
      </w:r>
      <w:r>
        <w:rPr>
          <w:rFonts w:hint="eastAsia" w:ascii="仿宋_GB2312" w:hAnsi="仿宋_GB2312" w:eastAsia="仿宋_GB2312" w:cs="仿宋_GB2312"/>
          <w:spacing w:val="38"/>
          <w:sz w:val="32"/>
          <w:szCs w:val="32"/>
        </w:rPr>
        <w:t>筑环境及消防设施配置要符合《建筑设计防火规范</w:t>
      </w:r>
      <w:r>
        <w:rPr>
          <w:rFonts w:hint="eastAsia" w:ascii="仿宋_GB2312" w:hAnsi="仿宋_GB2312" w:eastAsia="仿宋_GB2312" w:cs="仿宋_GB2312"/>
          <w:spacing w:val="38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GB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500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6-2018 版)、《社会福利机构消防安全管理十项规定》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民函〔2015〕280 号 )、《建筑灭火器配置设计规范》(GB50140)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《消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防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 xml:space="preserve">安全标志》( </w:t>
      </w:r>
      <w:r>
        <w:rPr>
          <w:rFonts w:hint="eastAsia" w:ascii="仿宋_GB2312" w:hAnsi="仿宋_GB2312" w:eastAsia="仿宋_GB2312" w:cs="仿宋_GB2312"/>
          <w:sz w:val="32"/>
          <w:szCs w:val="32"/>
        </w:rPr>
        <w:t>GB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13495 )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《消防控制室通用技术要求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GB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25506— 2010)等相关标准规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范要求。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80" w:right="173" w:firstLine="59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2.资金补助。参考国家发展改革委民政部卫生健康委《“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四五”积极应对人口老</w:t>
      </w:r>
      <w:r>
        <w:rPr>
          <w:rFonts w:hint="eastAsia" w:ascii="仿宋_GB2312" w:hAnsi="仿宋_GB2312" w:eastAsia="仿宋_GB2312" w:cs="仿宋_GB2312"/>
          <w:sz w:val="32"/>
          <w:szCs w:val="32"/>
        </w:rPr>
        <w:t>龄化工程和托育建设实施方案》(发改社会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2021〕895号)资金补助政策(每床位12万元)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积极争取国家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资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金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，统筹安排自治区福彩公益金等资金，对新建乡镇(街道) 综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合养老中心项目给予支持，不足部分由市、县( 区 )承担；改建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目按照实际情况给</w:t>
      </w:r>
      <w:r>
        <w:rPr>
          <w:rFonts w:hint="eastAsia" w:ascii="仿宋_GB2312" w:hAnsi="仿宋_GB2312" w:eastAsia="仿宋_GB2312" w:cs="仿宋_GB2312"/>
          <w:sz w:val="32"/>
          <w:szCs w:val="32"/>
        </w:rPr>
        <w:t>予补助。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560" w:lineRule="exact"/>
        <w:ind w:left="3" w:right="72" w:firstLine="661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(三)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明确功能定位。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各地要明确市级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县区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乡镇(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4"/>
          <w:sz w:val="32"/>
          <w:szCs w:val="32"/>
        </w:rPr>
        <w:t>道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</w:rPr>
        <w:t>)、村(社区)不同层级养老机构(设施)服务范围和功能定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位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。其中，乡镇(街道) 综合养老服务中心应具备以下功能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560" w:lineRule="exact"/>
        <w:ind w:left="5" w:right="77" w:firstLine="664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1.托养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照护服务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为失能、失智、高龄及其他有需要的老年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提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供机构养老服务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为需要临时短期托养老年人提供就近全托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服</w:t>
      </w:r>
      <w:r>
        <w:rPr>
          <w:rFonts w:hint="eastAsia" w:ascii="仿宋_GB2312" w:hAnsi="仿宋_GB2312" w:eastAsia="仿宋_GB2312" w:cs="仿宋_GB2312"/>
          <w:sz w:val="32"/>
          <w:szCs w:val="32"/>
        </w:rPr>
        <w:t>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560" w:lineRule="exact"/>
        <w:ind w:left="6" w:firstLine="63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2.居家</w:t>
      </w:r>
      <w:r>
        <w:rPr>
          <w:rFonts w:hint="eastAsia" w:ascii="仿宋_GB2312" w:hAnsi="仿宋_GB2312" w:eastAsia="仿宋_GB2312" w:cs="仿宋_GB2312"/>
          <w:sz w:val="32"/>
          <w:szCs w:val="32"/>
        </w:rPr>
        <w:t>和社区服务。适应辐射区域老年人居家服务需求，  能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通过信息化手段，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为老年人提供方便可及的助餐、助浴、助洁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精神慰藉等居家和社区养老服务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firstLine="72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.信息管理和指导服务。建立健全辐射区域内老年人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信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息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库，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与市、县(区)两级信息数据共享，承担区域性养老信息管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理和服务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功能，收集分析老年人服务需求，链接周边为老服务资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源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联动指导辖区内社区老年人日间照料中心、居家养老服务中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心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(站)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农村老饭桌 (助餐点)、农村幸福院等，实现资源整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合和供需精准对接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.康复保健服务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可内设医疗设施或与辖区医疗机构、社区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卫生服务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站、卫生院等医疗资源开展签约服务，为老年人提供健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康管理、能力评估 、康复理疗、慢病诊疗等服务；能依托专业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理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团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队为老年人开展术后康复护理等服务。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560" w:lineRule="exact"/>
        <w:ind w:right="105" w:firstLine="654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5.文体娱乐和精神慰藉服务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为老年人提供知识讲座、休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闲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娱乐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健身文娱等服务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能提供心理健康宣教、精神慰藉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 xml:space="preserve"> 心</w:t>
      </w:r>
      <w:r>
        <w:rPr>
          <w:rFonts w:hint="eastAsia" w:ascii="仿宋_GB2312" w:hAnsi="仿宋_GB2312" w:eastAsia="仿宋_GB2312" w:cs="仿宋_GB2312"/>
          <w:sz w:val="32"/>
          <w:szCs w:val="32"/>
        </w:rPr>
        <w:t>理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咨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询、纠纷调解、法律援助等服务。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560" w:lineRule="exact"/>
        <w:ind w:left="6" w:right="105" w:firstLine="643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技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能实训服务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向老年人家属、家政服务人员等有需求的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社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居民开展生活照料和护理技能实训，开展健康养老专业知识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培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训和宣传。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560" w:lineRule="exact"/>
        <w:ind w:left="47" w:right="102" w:firstLine="608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7.其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他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服务。根据老年人需求，提供运营家庭养老床位 、上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门探访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老年人能力评估、家庭适老化改造等服务。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560" w:lineRule="exact"/>
        <w:ind w:left="3" w:right="91" w:firstLine="666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(四)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统筹整合服务资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源。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各地要加强统筹协调，推动涉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老相关政策措施落实落细，可整合利用辖区内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养老、医疗、文化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体育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公共服务资源和项目资金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聚合力量，形成养老服务联合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体，为老年人提供集中养老、日间照料、居家照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护、养老助餐、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文体娱乐、紧急援助、医疗卫生、康复护理等服务。整合社区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卫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生服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务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中心(站) 等医疗资源，实现老年人慢性病管理、小病诊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疗不出乡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 xml:space="preserve"> (街道)，深化家庭医生签约服务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扩大养老服务对象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和高龄独居老年人签约范围，为辖区老</w:t>
      </w:r>
      <w:r>
        <w:rPr>
          <w:rFonts w:hint="eastAsia" w:ascii="仿宋_GB2312" w:hAnsi="仿宋_GB2312" w:eastAsia="仿宋_GB2312" w:cs="仿宋_GB2312"/>
          <w:sz w:val="32"/>
          <w:szCs w:val="32"/>
        </w:rPr>
        <w:t>年人提供综合、连续的健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康养老服务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" w:line="560" w:lineRule="exact"/>
        <w:ind w:left="7" w:firstLine="662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五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)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推动社会化运营。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在确保公益属性前提下，支持养老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机构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养老服务企业、医疗卫生机构，通过公建民营、委托运营等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式运营乡镇(街道) 综合养老服务中心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实施规模化、连锁化发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展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政府提供场地实施公建民营的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乡镇(街道)综合养老服务中心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需在合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作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协议中约定收费价格，确保提供普惠性养老服务。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560" w:lineRule="exact"/>
        <w:ind w:firstLine="69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六)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加强规范管理。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所有项目名称统一为“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乡镇(街道)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综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合养老服务中心”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由原有机构转型而成的，可同时加挂“XX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>乡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镇(街道) 综合养老服务中心”或“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乡镇(街道)医养服务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中心”牌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子。项目建成运营后，严格按照《养老机构管理办法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(民政部令第 66 号)《养老机构服务安全基本规范(G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B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38600-2019)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《养老机构服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务质量基本规范》(GB/T35796-2017)、《医养结合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机构管理指南(试行)》(国卫办老龄发〔2020〕15号) 规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范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运营管理，提升服务质量。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92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四</w:t>
      </w:r>
      <w:r>
        <w:rPr>
          <w:rFonts w:hint="eastAsia" w:ascii="黑体" w:hAnsi="黑体" w:eastAsia="黑体" w:cs="黑体"/>
          <w:spacing w:val="4"/>
          <w:sz w:val="32"/>
          <w:szCs w:val="32"/>
        </w:rPr>
        <w:t>、工作要求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3" w:line="560" w:lineRule="exact"/>
        <w:ind w:left="37" w:right="4" w:firstLine="661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6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)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加强组织领导。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自治区民政厅指导各地建立乡镇 (街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道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 xml:space="preserve"> 综合养老服务中心建设发展工作台账，明确乡镇 (街道)综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合养老服务中心建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设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、转型发展任务和选址布局；各县( 市、区 )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将乡镇(街道) 综合养老服务中心建设工作列入重点工作内容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在国家和自治区资金补助基础上，加大政策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执行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 xml:space="preserve"> 资源统筹 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配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套资金支持力度 。在县(市、区)民政卫生健康部门指导下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乡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镇(街道) 建立健全养老和医养结合服务工作机制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由街道党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工委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乡镇党委)牵头，组织辖区内养老服务机构、社区卫生服务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中心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站)等服务主体和各类服务商等关联服务主体及有关单位共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同参与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定期召开议事协商会议，研究解决联合体建设过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程</w:t>
      </w:r>
      <w:r>
        <w:rPr>
          <w:rFonts w:hint="eastAsia" w:ascii="仿宋_GB2312" w:hAnsi="仿宋_GB2312" w:eastAsia="仿宋_GB2312" w:cs="仿宋_GB2312"/>
          <w:sz w:val="32"/>
          <w:szCs w:val="32"/>
        </w:rPr>
        <w:t>中的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重点难点问题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建立涉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老信息整合机制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已建有养老服务信息系统(平台)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市、县 ( 区 ) 要完善既有平台，加强涉老数据的共享交换、整合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集成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不断完善老年人数据库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为乡镇(街道)日常应用提供基础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支撑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原则上乡镇(街道)不再</w:t>
      </w:r>
      <w:r>
        <w:rPr>
          <w:rFonts w:hint="eastAsia" w:ascii="仿宋_GB2312" w:hAnsi="仿宋_GB2312" w:eastAsia="仿宋_GB2312" w:cs="仿宋_GB2312"/>
          <w:sz w:val="32"/>
          <w:szCs w:val="32"/>
        </w:rPr>
        <w:t>新建信息管理系统，对于已有且符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合条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的系统，可通过开放接口共享信息或嵌入上一级平台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" w:line="560" w:lineRule="exact"/>
        <w:ind w:left="8" w:right="92" w:firstLine="661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(二)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明确工作责任。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县( 市、区 )民政、卫生健康部门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加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强指导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乡镇(街道)牵头，以乡镇 (街道) 综合养老服务中心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建设运营为抓手，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建立养老服务联合体，承担养老服务政策和资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源统筹协调、服务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开展和监督管理等方面职责，组织实施辖区内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养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老服务工作，主要包括牵头建立联合体，整合利用各类可用于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养老服务的政策、设施和服务资源；组织辖区内综合养老服务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心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等机构承担基本养老服务保障职能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引导社会力量为辖区内老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年人提供服务；推行为老志愿者登记制度，支持、指导、组织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民委员会、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村民委员会及社区服务站为老年人提供服务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引导各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类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益组织参与居家社区养老服务；协助相关部门履行养老服务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综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合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监管职责，加强对辖区内综合养老服务中心及其他供应商服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务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质量、消防安全、食品安全等的日常监管。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" w:line="560" w:lineRule="exact"/>
        <w:ind w:left="6" w:firstLine="645"/>
        <w:jc w:val="both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居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民(村民)委员会协助乡镇(街道)梳理辖区内服务资源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时反馈老年人服务需求，为乡镇(街道)综合养老服务中心提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供支持，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与综合养老服务中心建立协同联动，促进服务供需信息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接；对其运营情况及服务质量进行监督。组织动员居民群众参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为老志愿服务和互助帮扶。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" w:line="560" w:lineRule="exact"/>
        <w:ind w:left="6" w:firstLine="64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(三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)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加强支持保障。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自治区民政厅会同财政厅分级分类对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级养老机构、转型发展和建成运营的乡镇(街道) 综合养老服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务中心、乡镇医养服务中心按照其运营管理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成效给以支持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相关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资金列入福彩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益金支持范围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各市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县(区)以建设乡镇 (街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道)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综合养老服务中心为契机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加强业务指导和机制创新，着力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提升区域养老服务能力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。</w:t>
      </w:r>
    </w:p>
    <w:p/>
    <w:p/>
    <w:p/>
    <w:p>
      <w:pPr>
        <w:tabs>
          <w:tab w:val="left" w:pos="2338"/>
        </w:tabs>
        <w:bidi w:val="0"/>
        <w:jc w:val="left"/>
        <w:rPr>
          <w:rFonts w:hint="eastAsia"/>
          <w:lang w:eastAsia="zh-CN"/>
        </w:rPr>
      </w:pPr>
    </w:p>
    <w:sectPr>
      <w:footerReference r:id="rId7" w:type="default"/>
      <w:type w:val="continuous"/>
      <w:pgSz w:w="11906" w:h="16838"/>
      <w:pgMar w:top="1431" w:right="1365" w:bottom="1723" w:left="1478" w:header="0" w:footer="1440" w:gutter="0"/>
      <w:cols w:equalWidth="0" w:num="1">
        <w:col w:w="906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Times New Roma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Times New Roma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altName w:val="永中仿宋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永中仿宋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326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1 -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2 -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1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- 12 -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RmNzBiOGZiYWM5OTVlMzQ2OGU1NTFjNGE1NDgzZDkifQ=="/>
  </w:docVars>
  <w:rsids>
    <w:rsidRoot w:val="00000000"/>
    <w:rsid w:val="00766F94"/>
    <w:rsid w:val="02DB0B53"/>
    <w:rsid w:val="07EE1225"/>
    <w:rsid w:val="083245C7"/>
    <w:rsid w:val="0A115D4C"/>
    <w:rsid w:val="0D501777"/>
    <w:rsid w:val="16B9038D"/>
    <w:rsid w:val="17CA2D47"/>
    <w:rsid w:val="1A9646C4"/>
    <w:rsid w:val="1E1B2178"/>
    <w:rsid w:val="1F5E5355"/>
    <w:rsid w:val="29B9443C"/>
    <w:rsid w:val="2C732A3C"/>
    <w:rsid w:val="31A041CB"/>
    <w:rsid w:val="32742FC6"/>
    <w:rsid w:val="338813BB"/>
    <w:rsid w:val="36BB123C"/>
    <w:rsid w:val="387F611B"/>
    <w:rsid w:val="41F145CF"/>
    <w:rsid w:val="4ABA40F8"/>
    <w:rsid w:val="4E0F216D"/>
    <w:rsid w:val="55102257"/>
    <w:rsid w:val="5AC4067B"/>
    <w:rsid w:val="5C1B42CB"/>
    <w:rsid w:val="5C58551F"/>
    <w:rsid w:val="5E5E67F9"/>
    <w:rsid w:val="5F37D192"/>
    <w:rsid w:val="6CD60906"/>
    <w:rsid w:val="76EA4C76"/>
    <w:rsid w:val="7DB57D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4860</Words>
  <Characters>5045</Characters>
  <TotalTime>36</TotalTime>
  <ScaleCrop>false</ScaleCrop>
  <LinksUpToDate>false</LinksUpToDate>
  <CharactersWithSpaces>5354</CharactersWithSpaces>
  <Application>WPS Office_11.8.2.9864_F1E327BC-269C-435d-A152-05C5408002CA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2023-01-30T20:11:00Z</dcterms:created>
  <dc:creator>mzt37</dc:creator>
  <cp:lastModifiedBy>ltq</cp:lastModifiedBy>
  <dcterms:modified xsi:type="dcterms:W3CDTF">2023-02-14T11:39:51Z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2023-01-30T12:15:39Z</vt:filetime>
  </property>
  <property fmtid="{D5CDD505-2E9C-101B-9397-08002B2CF9AE}" pid="4" name="UsrData">
    <vt:lpwstr>63d744627e63a600151ac5fc</vt:lpwstr>
  </property>
  <property fmtid="{D5CDD505-2E9C-101B-9397-08002B2CF9AE}" pid="5" name="KSOProductBuildVer">
    <vt:lpwstr>2052-11.8.2.9864</vt:lpwstr>
  </property>
  <property fmtid="{D5CDD505-2E9C-101B-9397-08002B2CF9AE}" pid="6" name="ICV">
    <vt:lpwstr>C56F55775AFB4406BB185BFB4A20D4AC</vt:lpwstr>
  </property>
</Properties>
</file>