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9"/>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吴忠市利通区马莲渠乡巴浪湖村村庄规划（</w:t>
      </w:r>
      <w:r>
        <w:rPr>
          <w:rFonts w:hint="default" w:ascii="Times New Roman" w:hAnsi="Times New Roman" w:eastAsia="方正小标宋_GBK" w:cs="Times New Roman"/>
          <w:sz w:val="44"/>
          <w:szCs w:val="44"/>
          <w:lang w:eastAsia="zh-CN"/>
        </w:rPr>
        <w:t>2023-2035</w:t>
      </w:r>
      <w:r>
        <w:rPr>
          <w:rFonts w:hint="eastAsia" w:ascii="方正小标宋_GBK" w:hAnsi="方正小标宋_GBK" w:eastAsia="方正小标宋_GBK" w:cs="方正小标宋_GBK"/>
          <w:sz w:val="44"/>
          <w:szCs w:val="44"/>
          <w:lang w:eastAsia="zh-CN"/>
        </w:rPr>
        <w:t>年）</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9"/>
        <w:rPr>
          <w:rFonts w:hint="eastAsia" w:ascii="方正小标宋_GBK" w:hAnsi="方正小标宋_GBK" w:eastAsia="方正小标宋_GBK" w:cs="方正小标宋_GBK"/>
          <w:sz w:val="44"/>
          <w:szCs w:val="44"/>
          <w:lang w:eastAsia="zh-CN"/>
        </w:rPr>
      </w:pPr>
    </w:p>
    <w:p>
      <w:pPr>
        <w:pStyle w:val="11"/>
        <w:keepNext w:val="0"/>
        <w:keepLines w:val="0"/>
        <w:pageBreakBefore w:val="0"/>
        <w:widowControl w:val="0"/>
        <w:numPr>
          <w:ilvl w:val="0"/>
          <w:numId w:val="0"/>
        </w:numPr>
        <w:kinsoku/>
        <w:wordWrap/>
        <w:overflowPunct/>
        <w:topLinePunct w:val="0"/>
        <w:autoSpaceDE/>
        <w:autoSpaceDN/>
        <w:bidi w:val="0"/>
        <w:adjustRightInd/>
        <w:snapToGrid/>
        <w:spacing w:after="160"/>
        <w:ind w:left="419" w:leftChars="0" w:hanging="419" w:hangingChars="131"/>
        <w:textAlignment w:val="auto"/>
        <w:rPr>
          <w:rFonts w:ascii="黑体" w:hAnsi="黑体" w:eastAsia="黑体" w:cs="黑体"/>
          <w:szCs w:val="32"/>
        </w:rPr>
      </w:pPr>
      <w:r>
        <w:rPr>
          <w:rFonts w:hint="eastAsia" w:ascii="黑体" w:hAnsi="黑体" w:eastAsia="黑体" w:cs="黑体"/>
          <w:kern w:val="2"/>
          <w:sz w:val="32"/>
          <w:szCs w:val="32"/>
          <w:lang w:val="en-US" w:eastAsia="zh-CN" w:bidi="ar-SA"/>
        </w:rPr>
        <w:t>一、</w:t>
      </w:r>
      <w:r>
        <w:rPr>
          <w:rFonts w:ascii="黑体" w:hAnsi="黑体" w:eastAsia="黑体" w:cs="黑体"/>
          <w:szCs w:val="32"/>
        </w:rPr>
        <w:t>规划范围与规划期限</w:t>
      </w:r>
    </w:p>
    <w:p>
      <w:pPr>
        <w:keepNext w:val="0"/>
        <w:keepLines w:val="0"/>
        <w:pageBreakBefore w:val="0"/>
        <w:widowControl w:val="0"/>
        <w:kinsoku/>
        <w:wordWrap/>
        <w:overflowPunct/>
        <w:topLinePunct w:val="0"/>
        <w:autoSpaceDE/>
        <w:autoSpaceDN/>
        <w:bidi w:val="0"/>
        <w:adjustRightInd/>
        <w:snapToGrid/>
        <w:ind w:firstLine="640"/>
        <w:textAlignment w:val="auto"/>
      </w:pPr>
      <w:r>
        <w:rPr>
          <w:rFonts w:hint="eastAsia"/>
        </w:rPr>
        <w:t>巴浪湖村位于马莲渠乡政府东侧2公里处，西靠汉北堡村，南靠金廖公路，北靠古青高速公路，东靠罗山大道，是纯回民村。本次村庄规划编制的范围涵盖整个巴浪湖村行政管理范围，共13个村民小组，涉及土地面积251.83公顷。</w:t>
      </w:r>
    </w:p>
    <w:p>
      <w:pPr>
        <w:keepNext w:val="0"/>
        <w:keepLines w:val="0"/>
        <w:pageBreakBefore w:val="0"/>
        <w:widowControl w:val="0"/>
        <w:kinsoku/>
        <w:wordWrap/>
        <w:overflowPunct/>
        <w:topLinePunct w:val="0"/>
        <w:autoSpaceDE/>
        <w:autoSpaceDN/>
        <w:bidi w:val="0"/>
        <w:adjustRightInd/>
        <w:snapToGrid/>
        <w:ind w:firstLine="640"/>
        <w:textAlignment w:val="auto"/>
      </w:pPr>
      <w:r>
        <w:rPr>
          <w:rFonts w:hint="eastAsia"/>
        </w:rPr>
        <w:t>本次规划期限为202</w:t>
      </w:r>
      <w:r>
        <w:t>3</w:t>
      </w:r>
      <w:r>
        <w:rPr>
          <w:rFonts w:hint="eastAsia"/>
        </w:rPr>
        <w:t>-2035年，其中：近期：202</w:t>
      </w:r>
      <w:r>
        <w:t>3</w:t>
      </w:r>
      <w:r>
        <w:rPr>
          <w:rFonts w:hint="eastAsia"/>
        </w:rPr>
        <w:t>-2025年；远期：2026-2035年。</w:t>
      </w:r>
    </w:p>
    <w:p>
      <w:pPr>
        <w:spacing w:line="240" w:lineRule="auto"/>
        <w:ind w:firstLine="0" w:firstLineChars="0"/>
        <w:jc w:val="center"/>
        <w:rPr>
          <w:rFonts w:hint="eastAsia"/>
        </w:rPr>
      </w:pPr>
      <w:r>
        <w:drawing>
          <wp:anchor distT="0" distB="0" distL="0" distR="0" simplePos="0" relativeHeight="251660288" behindDoc="1" locked="0" layoutInCell="1" allowOverlap="1">
            <wp:simplePos x="0" y="0"/>
            <wp:positionH relativeFrom="column">
              <wp:posOffset>-138430</wp:posOffset>
            </wp:positionH>
            <wp:positionV relativeFrom="paragraph">
              <wp:posOffset>265430</wp:posOffset>
            </wp:positionV>
            <wp:extent cx="5779135" cy="3782060"/>
            <wp:effectExtent l="0" t="0" r="12065" b="88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79135" cy="3782060"/>
                    </a:xfrm>
                    <a:prstGeom prst="rect">
                      <a:avLst/>
                    </a:prstGeom>
                    <a:noFill/>
                  </pic:spPr>
                </pic:pic>
              </a:graphicData>
            </a:graphic>
          </wp:anchor>
        </w:drawing>
      </w:r>
    </w:p>
    <w:p>
      <w:pPr>
        <w:pStyle w:val="11"/>
        <w:keepNext w:val="0"/>
        <w:keepLines w:val="0"/>
        <w:pageBreakBefore w:val="0"/>
        <w:widowControl w:val="0"/>
        <w:numPr>
          <w:ilvl w:val="0"/>
          <w:numId w:val="0"/>
        </w:numPr>
        <w:kinsoku/>
        <w:wordWrap/>
        <w:overflowPunct/>
        <w:topLinePunct w:val="0"/>
        <w:autoSpaceDE/>
        <w:autoSpaceDN/>
        <w:bidi w:val="0"/>
        <w:adjustRightInd/>
        <w:snapToGrid/>
        <w:ind w:left="419" w:leftChars="0" w:hanging="419" w:hangingChars="131"/>
        <w:textAlignment w:val="auto"/>
        <w:rPr>
          <w:rFonts w:hint="eastAsia" w:ascii="黑体" w:hAnsi="黑体" w:eastAsia="黑体" w:cs="黑体"/>
          <w:kern w:val="2"/>
          <w:sz w:val="32"/>
          <w:szCs w:val="32"/>
          <w:lang w:val="en-US" w:eastAsia="zh-CN" w:bidi="ar-SA"/>
        </w:rPr>
      </w:pPr>
    </w:p>
    <w:p>
      <w:pPr>
        <w:pStyle w:val="11"/>
        <w:keepNext w:val="0"/>
        <w:keepLines w:val="0"/>
        <w:pageBreakBefore w:val="0"/>
        <w:widowControl w:val="0"/>
        <w:numPr>
          <w:ilvl w:val="0"/>
          <w:numId w:val="0"/>
        </w:numPr>
        <w:kinsoku/>
        <w:wordWrap/>
        <w:overflowPunct/>
        <w:topLinePunct w:val="0"/>
        <w:autoSpaceDE/>
        <w:autoSpaceDN/>
        <w:bidi w:val="0"/>
        <w:adjustRightInd/>
        <w:snapToGrid/>
        <w:ind w:left="419" w:leftChars="0" w:hanging="419" w:hangingChars="131"/>
        <w:textAlignment w:val="auto"/>
        <w:rPr>
          <w:rFonts w:hint="eastAsia" w:ascii="黑体" w:hAnsi="黑体" w:eastAsia="黑体" w:cs="黑体"/>
          <w:kern w:val="2"/>
          <w:sz w:val="32"/>
          <w:szCs w:val="32"/>
          <w:lang w:val="en-US" w:eastAsia="zh-CN" w:bidi="ar-SA"/>
        </w:rPr>
      </w:pPr>
    </w:p>
    <w:p>
      <w:pPr>
        <w:pStyle w:val="11"/>
        <w:keepNext w:val="0"/>
        <w:keepLines w:val="0"/>
        <w:pageBreakBefore w:val="0"/>
        <w:widowControl w:val="0"/>
        <w:numPr>
          <w:ilvl w:val="0"/>
          <w:numId w:val="0"/>
        </w:numPr>
        <w:kinsoku/>
        <w:wordWrap/>
        <w:overflowPunct/>
        <w:topLinePunct w:val="0"/>
        <w:autoSpaceDE/>
        <w:autoSpaceDN/>
        <w:bidi w:val="0"/>
        <w:adjustRightInd/>
        <w:snapToGrid/>
        <w:ind w:left="419" w:leftChars="0" w:hanging="419" w:hangingChars="131"/>
        <w:textAlignment w:val="auto"/>
        <w:rPr>
          <w:rFonts w:hint="eastAsia" w:ascii="黑体" w:hAnsi="黑体" w:eastAsia="黑体" w:cs="黑体"/>
          <w:kern w:val="2"/>
          <w:sz w:val="32"/>
          <w:szCs w:val="32"/>
          <w:lang w:val="en-US" w:eastAsia="zh-CN" w:bidi="ar-SA"/>
        </w:rPr>
      </w:pPr>
    </w:p>
    <w:p>
      <w:pPr>
        <w:pStyle w:val="11"/>
        <w:keepNext w:val="0"/>
        <w:keepLines w:val="0"/>
        <w:pageBreakBefore w:val="0"/>
        <w:widowControl w:val="0"/>
        <w:numPr>
          <w:ilvl w:val="0"/>
          <w:numId w:val="0"/>
        </w:numPr>
        <w:kinsoku/>
        <w:wordWrap/>
        <w:overflowPunct/>
        <w:topLinePunct w:val="0"/>
        <w:autoSpaceDE/>
        <w:autoSpaceDN/>
        <w:bidi w:val="0"/>
        <w:adjustRightInd/>
        <w:snapToGrid/>
        <w:ind w:left="419" w:leftChars="0" w:hanging="419" w:hangingChars="131"/>
        <w:textAlignment w:val="auto"/>
        <w:rPr>
          <w:rFonts w:hint="eastAsia" w:ascii="黑体" w:hAnsi="黑体" w:eastAsia="黑体" w:cs="黑体"/>
          <w:kern w:val="2"/>
          <w:sz w:val="32"/>
          <w:szCs w:val="32"/>
          <w:lang w:val="en-US" w:eastAsia="zh-CN" w:bidi="ar-SA"/>
        </w:rPr>
      </w:pPr>
    </w:p>
    <w:p>
      <w:pPr>
        <w:pStyle w:val="11"/>
        <w:keepNext w:val="0"/>
        <w:keepLines w:val="0"/>
        <w:pageBreakBefore w:val="0"/>
        <w:widowControl w:val="0"/>
        <w:numPr>
          <w:ilvl w:val="0"/>
          <w:numId w:val="0"/>
        </w:numPr>
        <w:kinsoku/>
        <w:wordWrap/>
        <w:overflowPunct/>
        <w:topLinePunct w:val="0"/>
        <w:autoSpaceDE/>
        <w:autoSpaceDN/>
        <w:bidi w:val="0"/>
        <w:adjustRightInd/>
        <w:snapToGrid/>
        <w:ind w:left="419" w:leftChars="0" w:hanging="419" w:hangingChars="131"/>
        <w:textAlignment w:val="auto"/>
        <w:rPr>
          <w:rFonts w:hint="eastAsia" w:ascii="黑体" w:hAnsi="黑体" w:eastAsia="黑体" w:cs="黑体"/>
          <w:kern w:val="2"/>
          <w:sz w:val="32"/>
          <w:szCs w:val="32"/>
          <w:lang w:val="en-US" w:eastAsia="zh-CN" w:bidi="ar-SA"/>
        </w:rPr>
      </w:pPr>
    </w:p>
    <w:p>
      <w:pPr>
        <w:pStyle w:val="11"/>
        <w:keepNext w:val="0"/>
        <w:keepLines w:val="0"/>
        <w:pageBreakBefore w:val="0"/>
        <w:widowControl w:val="0"/>
        <w:numPr>
          <w:ilvl w:val="0"/>
          <w:numId w:val="0"/>
        </w:numPr>
        <w:kinsoku/>
        <w:wordWrap/>
        <w:overflowPunct/>
        <w:topLinePunct w:val="0"/>
        <w:autoSpaceDE/>
        <w:autoSpaceDN/>
        <w:bidi w:val="0"/>
        <w:adjustRightInd/>
        <w:snapToGrid/>
        <w:ind w:left="419" w:leftChars="0" w:hanging="419" w:hangingChars="131"/>
        <w:textAlignment w:val="auto"/>
        <w:rPr>
          <w:rFonts w:hint="eastAsia" w:ascii="黑体" w:hAnsi="黑体" w:eastAsia="黑体" w:cs="黑体"/>
          <w:kern w:val="2"/>
          <w:sz w:val="32"/>
          <w:szCs w:val="32"/>
          <w:lang w:val="en-US" w:eastAsia="zh-CN" w:bidi="ar-SA"/>
        </w:rPr>
      </w:pPr>
    </w:p>
    <w:p>
      <w:pPr>
        <w:pStyle w:val="11"/>
        <w:keepNext w:val="0"/>
        <w:keepLines w:val="0"/>
        <w:pageBreakBefore w:val="0"/>
        <w:widowControl w:val="0"/>
        <w:numPr>
          <w:ilvl w:val="0"/>
          <w:numId w:val="0"/>
        </w:numPr>
        <w:kinsoku/>
        <w:wordWrap/>
        <w:overflowPunct/>
        <w:topLinePunct w:val="0"/>
        <w:autoSpaceDE/>
        <w:autoSpaceDN/>
        <w:bidi w:val="0"/>
        <w:adjustRightInd/>
        <w:snapToGrid/>
        <w:ind w:left="419" w:leftChars="0" w:hanging="419" w:hangingChars="131"/>
        <w:textAlignment w:val="auto"/>
        <w:rPr>
          <w:rFonts w:hint="eastAsia" w:ascii="黑体" w:hAnsi="黑体" w:eastAsia="黑体" w:cs="黑体"/>
          <w:kern w:val="2"/>
          <w:sz w:val="32"/>
          <w:szCs w:val="32"/>
          <w:lang w:val="en-US" w:eastAsia="zh-CN" w:bidi="ar-SA"/>
        </w:rPr>
      </w:pPr>
    </w:p>
    <w:p>
      <w:pPr>
        <w:pStyle w:val="11"/>
        <w:keepNext w:val="0"/>
        <w:keepLines w:val="0"/>
        <w:pageBreakBefore w:val="0"/>
        <w:widowControl w:val="0"/>
        <w:numPr>
          <w:ilvl w:val="0"/>
          <w:numId w:val="0"/>
        </w:numPr>
        <w:kinsoku/>
        <w:wordWrap/>
        <w:overflowPunct/>
        <w:topLinePunct w:val="0"/>
        <w:autoSpaceDE/>
        <w:autoSpaceDN/>
        <w:bidi w:val="0"/>
        <w:adjustRightInd/>
        <w:snapToGrid/>
        <w:ind w:left="419" w:leftChars="0" w:hanging="419" w:hangingChars="131"/>
        <w:textAlignment w:val="auto"/>
        <w:rPr>
          <w:rFonts w:hint="eastAsia" w:ascii="黑体" w:hAnsi="黑体" w:eastAsia="黑体" w:cs="黑体"/>
          <w:kern w:val="2"/>
          <w:sz w:val="32"/>
          <w:szCs w:val="32"/>
          <w:lang w:val="en-US" w:eastAsia="zh-CN" w:bidi="ar-SA"/>
        </w:rPr>
      </w:pPr>
    </w:p>
    <w:p>
      <w:pPr>
        <w:pStyle w:val="11"/>
        <w:keepNext w:val="0"/>
        <w:keepLines w:val="0"/>
        <w:pageBreakBefore w:val="0"/>
        <w:widowControl w:val="0"/>
        <w:numPr>
          <w:ilvl w:val="0"/>
          <w:numId w:val="0"/>
        </w:numPr>
        <w:kinsoku/>
        <w:wordWrap/>
        <w:overflowPunct/>
        <w:topLinePunct w:val="0"/>
        <w:autoSpaceDE/>
        <w:autoSpaceDN/>
        <w:bidi w:val="0"/>
        <w:adjustRightInd/>
        <w:snapToGrid/>
        <w:ind w:left="419" w:leftChars="0" w:hanging="419" w:hangingChars="131"/>
        <w:textAlignment w:val="auto"/>
        <w:rPr>
          <w:rFonts w:hint="eastAsia" w:ascii="黑体" w:hAnsi="黑体" w:eastAsia="黑体" w:cs="黑体"/>
          <w:kern w:val="2"/>
          <w:sz w:val="32"/>
          <w:szCs w:val="32"/>
          <w:lang w:val="en-US" w:eastAsia="zh-CN" w:bidi="ar-SA"/>
        </w:rPr>
      </w:pPr>
    </w:p>
    <w:p>
      <w:pPr>
        <w:pStyle w:val="11"/>
        <w:keepNext w:val="0"/>
        <w:keepLines w:val="0"/>
        <w:pageBreakBefore w:val="0"/>
        <w:widowControl w:val="0"/>
        <w:numPr>
          <w:ilvl w:val="0"/>
          <w:numId w:val="0"/>
        </w:numPr>
        <w:kinsoku/>
        <w:wordWrap/>
        <w:overflowPunct/>
        <w:topLinePunct w:val="0"/>
        <w:autoSpaceDE/>
        <w:autoSpaceDN/>
        <w:bidi w:val="0"/>
        <w:adjustRightInd/>
        <w:snapToGrid/>
        <w:ind w:left="419" w:leftChars="0" w:hanging="419" w:hangingChars="131"/>
        <w:textAlignment w:val="auto"/>
        <w:rPr>
          <w:rFonts w:hint="eastAsia" w:ascii="黑体" w:hAnsi="黑体" w:eastAsia="黑体" w:cs="黑体"/>
          <w:kern w:val="2"/>
          <w:sz w:val="32"/>
          <w:szCs w:val="32"/>
          <w:lang w:val="en-US" w:eastAsia="zh-CN" w:bidi="ar-SA"/>
        </w:rPr>
      </w:pPr>
    </w:p>
    <w:p>
      <w:pPr>
        <w:pStyle w:val="11"/>
        <w:keepNext w:val="0"/>
        <w:keepLines w:val="0"/>
        <w:pageBreakBefore w:val="0"/>
        <w:widowControl w:val="0"/>
        <w:numPr>
          <w:ilvl w:val="0"/>
          <w:numId w:val="0"/>
        </w:numPr>
        <w:kinsoku/>
        <w:wordWrap/>
        <w:overflowPunct/>
        <w:topLinePunct w:val="0"/>
        <w:autoSpaceDE/>
        <w:autoSpaceDN/>
        <w:bidi w:val="0"/>
        <w:adjustRightInd/>
        <w:snapToGrid/>
        <w:ind w:left="419" w:leftChars="0" w:hanging="419" w:hangingChars="131"/>
        <w:textAlignment w:val="auto"/>
        <w:rPr>
          <w:rFonts w:hint="eastAsia" w:ascii="黑体" w:hAnsi="黑体" w:eastAsia="黑体" w:cs="黑体"/>
          <w:kern w:val="2"/>
          <w:sz w:val="32"/>
          <w:szCs w:val="32"/>
          <w:lang w:val="en-US" w:eastAsia="zh-CN" w:bidi="ar-SA"/>
        </w:rPr>
      </w:pPr>
    </w:p>
    <w:p>
      <w:pPr>
        <w:pStyle w:val="11"/>
        <w:keepNext w:val="0"/>
        <w:keepLines w:val="0"/>
        <w:pageBreakBefore w:val="0"/>
        <w:widowControl w:val="0"/>
        <w:numPr>
          <w:ilvl w:val="0"/>
          <w:numId w:val="0"/>
        </w:numPr>
        <w:kinsoku/>
        <w:wordWrap/>
        <w:overflowPunct/>
        <w:topLinePunct w:val="0"/>
        <w:autoSpaceDE/>
        <w:autoSpaceDN/>
        <w:bidi w:val="0"/>
        <w:adjustRightInd/>
        <w:snapToGrid/>
        <w:spacing w:before="240" w:after="200"/>
        <w:ind w:left="419" w:leftChars="0" w:hanging="419" w:hangingChars="131"/>
        <w:textAlignment w:val="auto"/>
        <w:rPr>
          <w:rFonts w:ascii="黑体" w:hAnsi="黑体" w:eastAsia="黑体" w:cs="黑体"/>
          <w:szCs w:val="32"/>
        </w:rPr>
      </w:pPr>
      <w:r>
        <w:rPr>
          <w:rFonts w:hint="eastAsia" w:ascii="黑体" w:hAnsi="黑体" w:eastAsia="黑体" w:cs="黑体"/>
          <w:kern w:val="2"/>
          <w:sz w:val="32"/>
          <w:szCs w:val="32"/>
          <w:lang w:val="en-US" w:eastAsia="zh-CN" w:bidi="ar-SA"/>
        </w:rPr>
        <w:t>二、</w:t>
      </w:r>
      <w:r>
        <w:rPr>
          <w:rFonts w:hint="eastAsia" w:ascii="黑体" w:hAnsi="黑体" w:eastAsia="黑体" w:cs="黑体"/>
          <w:szCs w:val="32"/>
        </w:rPr>
        <w:t>目标定位与规模确定</w:t>
      </w:r>
    </w:p>
    <w:p>
      <w:pPr>
        <w:pStyle w:val="11"/>
        <w:ind w:firstLine="0" w:firstLineChars="0"/>
        <w:rPr>
          <w:rFonts w:hint="eastAsia" w:ascii="楷体" w:hAnsi="楷体" w:eastAsia="楷体" w:cs="楷体"/>
          <w:b/>
        </w:rPr>
      </w:pPr>
      <w:r>
        <w:rPr>
          <w:rFonts w:hint="eastAsia" w:ascii="楷体" w:hAnsi="楷体" w:eastAsia="楷体" w:cs="楷体"/>
          <w:b/>
          <w:bCs w:val="0"/>
          <w:sz w:val="32"/>
          <w:szCs w:val="32"/>
          <w:lang w:eastAsia="zh-CN"/>
        </w:rPr>
        <w:t>（一）</w:t>
      </w:r>
      <w:r>
        <w:rPr>
          <w:rFonts w:hint="eastAsia" w:ascii="楷体" w:hAnsi="楷体" w:eastAsia="楷体" w:cs="楷体"/>
          <w:b/>
        </w:rPr>
        <w:t>、村庄分类</w:t>
      </w:r>
    </w:p>
    <w:p>
      <w:pPr>
        <w:keepNext w:val="0"/>
        <w:keepLines w:val="0"/>
        <w:pageBreakBefore w:val="0"/>
        <w:widowControl w:val="0"/>
        <w:kinsoku/>
        <w:wordWrap/>
        <w:overflowPunct/>
        <w:topLinePunct w:val="0"/>
        <w:autoSpaceDE/>
        <w:autoSpaceDN/>
        <w:bidi w:val="0"/>
        <w:adjustRightInd/>
        <w:snapToGrid/>
        <w:spacing w:line="640" w:lineRule="exact"/>
        <w:ind w:firstLine="640"/>
        <w:textAlignment w:val="auto"/>
        <w:rPr>
          <w:rFonts w:hint="eastAsia"/>
        </w:rPr>
      </w:pPr>
      <w:r>
        <w:rPr>
          <w:rFonts w:hint="eastAsia"/>
        </w:rPr>
        <w:t>根据《吴忠市国土空间总体规划(2021-2035)》确定巴浪湖村为整治改善类村庄</w:t>
      </w:r>
      <w:r>
        <w:rPr>
          <w:rFonts w:hint="eastAsia"/>
        </w:rPr>
        <w:t>。</w:t>
      </w:r>
    </w:p>
    <w:p>
      <w:pPr>
        <w:pStyle w:val="11"/>
        <w:keepNext w:val="0"/>
        <w:keepLines w:val="0"/>
        <w:pageBreakBefore w:val="0"/>
        <w:widowControl w:val="0"/>
        <w:kinsoku/>
        <w:wordWrap/>
        <w:overflowPunct/>
        <w:topLinePunct w:val="0"/>
        <w:autoSpaceDE/>
        <w:autoSpaceDN/>
        <w:bidi w:val="0"/>
        <w:adjustRightInd/>
        <w:snapToGrid/>
        <w:spacing w:before="120" w:after="120"/>
        <w:ind w:firstLine="0" w:firstLineChars="0"/>
        <w:textAlignment w:val="auto"/>
        <w:rPr>
          <w:rFonts w:hint="eastAsia" w:ascii="楷体" w:hAnsi="楷体" w:eastAsia="楷体" w:cs="楷体"/>
          <w:b/>
        </w:rPr>
      </w:pPr>
      <w:r>
        <w:rPr>
          <w:rFonts w:hint="eastAsia" w:ascii="楷体" w:hAnsi="楷体" w:eastAsia="楷体" w:cs="楷体"/>
          <w:b/>
          <w:bCs w:val="0"/>
          <w:sz w:val="32"/>
          <w:szCs w:val="32"/>
          <w:lang w:eastAsia="zh-CN"/>
        </w:rPr>
        <w:t>（二）</w:t>
      </w:r>
      <w:r>
        <w:rPr>
          <w:rFonts w:hint="eastAsia" w:ascii="楷体" w:hAnsi="楷体" w:eastAsia="楷体" w:cs="楷体"/>
          <w:b/>
        </w:rPr>
        <w:t>、村庄定位</w:t>
      </w:r>
    </w:p>
    <w:p>
      <w:pPr>
        <w:keepNext w:val="0"/>
        <w:keepLines w:val="0"/>
        <w:pageBreakBefore w:val="0"/>
        <w:widowControl w:val="0"/>
        <w:kinsoku/>
        <w:wordWrap/>
        <w:overflowPunct/>
        <w:topLinePunct w:val="0"/>
        <w:autoSpaceDE/>
        <w:autoSpaceDN/>
        <w:bidi w:val="0"/>
        <w:adjustRightInd/>
        <w:snapToGrid/>
        <w:spacing w:line="680" w:lineRule="exact"/>
        <w:ind w:firstLine="640"/>
        <w:textAlignment w:val="auto"/>
      </w:pPr>
      <w:r>
        <w:rPr>
          <w:rFonts w:hint="eastAsia"/>
        </w:rPr>
        <w:t>依托村庄自然、农业资源，以绿色生态为基础，规划打造人与自然和谐共处可持续发展的精品产业示范村，本次规划对巴浪湖村的形象定位为：</w:t>
      </w:r>
      <w:r>
        <w:rPr>
          <w:rFonts w:hint="eastAsia"/>
          <w:b/>
        </w:rPr>
        <w:t>塞上沃土，魅力田园</w:t>
      </w:r>
      <w:r>
        <w:rPr>
          <w:rFonts w:hint="eastAsia"/>
        </w:rPr>
        <w:t>；发展定位为：</w:t>
      </w:r>
      <w:r>
        <w:rPr>
          <w:rFonts w:hint="eastAsia"/>
          <w:b/>
        </w:rPr>
        <w:t>以现代农业为主体，以粮食食品加工为特色，以设施农业和果蔬种植为辅，以休闲旅游为延伸的特色产业型村庄</w:t>
      </w:r>
      <w:r>
        <w:rPr>
          <w:rFonts w:hint="eastAsia"/>
        </w:rPr>
        <w:t>。</w:t>
      </w:r>
    </w:p>
    <w:p>
      <w:pPr>
        <w:pStyle w:val="11"/>
        <w:keepNext w:val="0"/>
        <w:keepLines w:val="0"/>
        <w:pageBreakBefore w:val="0"/>
        <w:widowControl w:val="0"/>
        <w:kinsoku/>
        <w:wordWrap/>
        <w:overflowPunct/>
        <w:topLinePunct w:val="0"/>
        <w:autoSpaceDE/>
        <w:autoSpaceDN/>
        <w:bidi w:val="0"/>
        <w:adjustRightInd/>
        <w:snapToGrid/>
        <w:spacing w:before="120" w:after="120"/>
        <w:ind w:firstLine="0" w:firstLineChars="0"/>
        <w:textAlignment w:val="auto"/>
        <w:rPr>
          <w:rFonts w:hint="eastAsia" w:ascii="楷体" w:hAnsi="楷体" w:eastAsia="楷体" w:cs="楷体"/>
          <w:b/>
        </w:rPr>
      </w:pPr>
      <w:r>
        <w:rPr>
          <w:rFonts w:hint="eastAsia" w:ascii="楷体" w:hAnsi="楷体" w:eastAsia="楷体" w:cs="楷体"/>
          <w:b/>
          <w:bCs w:val="0"/>
          <w:sz w:val="32"/>
          <w:szCs w:val="32"/>
          <w:lang w:eastAsia="zh-CN"/>
        </w:rPr>
        <w:t>（三）</w:t>
      </w:r>
      <w:r>
        <w:rPr>
          <w:rFonts w:hint="eastAsia" w:ascii="楷体" w:hAnsi="楷体" w:eastAsia="楷体" w:cs="楷体"/>
          <w:b/>
        </w:rPr>
        <w:t>、规模预测</w:t>
      </w:r>
    </w:p>
    <w:p>
      <w:pPr>
        <w:keepNext w:val="0"/>
        <w:keepLines w:val="0"/>
        <w:pageBreakBefore w:val="0"/>
        <w:widowControl w:val="0"/>
        <w:kinsoku/>
        <w:wordWrap/>
        <w:overflowPunct/>
        <w:topLinePunct w:val="0"/>
        <w:autoSpaceDE/>
        <w:autoSpaceDN/>
        <w:bidi w:val="0"/>
        <w:adjustRightInd/>
        <w:snapToGrid/>
        <w:spacing w:line="700" w:lineRule="exact"/>
        <w:ind w:firstLine="640"/>
        <w:textAlignment w:val="auto"/>
      </w:pPr>
      <w:r>
        <w:rPr>
          <w:rFonts w:hint="eastAsia"/>
        </w:rPr>
        <w:t>人口规模：</w:t>
      </w:r>
      <w:r>
        <w:rPr>
          <w:rFonts w:hint="eastAsia"/>
          <w:b/>
        </w:rPr>
        <w:t>常住人口</w:t>
      </w:r>
      <w:r>
        <w:rPr>
          <w:rFonts w:hint="eastAsia"/>
        </w:rPr>
        <w:t>近期2025年为1094人，远期2035年为1090人。户籍人口近期2025年为2820人，远期2035年为2796人。</w:t>
      </w:r>
    </w:p>
    <w:p>
      <w:pPr>
        <w:keepNext w:val="0"/>
        <w:keepLines w:val="0"/>
        <w:pageBreakBefore w:val="0"/>
        <w:widowControl w:val="0"/>
        <w:kinsoku/>
        <w:wordWrap/>
        <w:overflowPunct/>
        <w:topLinePunct w:val="0"/>
        <w:autoSpaceDE/>
        <w:autoSpaceDN/>
        <w:bidi w:val="0"/>
        <w:adjustRightInd/>
        <w:snapToGrid/>
        <w:spacing w:line="700" w:lineRule="exact"/>
        <w:ind w:firstLine="640"/>
        <w:textAlignment w:val="auto"/>
        <w:rPr>
          <w:b/>
          <w:bCs/>
          <w:sz w:val="30"/>
          <w:szCs w:val="30"/>
        </w:rPr>
      </w:pPr>
      <w:r>
        <w:rPr>
          <w:rFonts w:hint="eastAsia"/>
        </w:rPr>
        <w:t>用地规模：规划末期巴浪湖村建设用地总规模55.22公顷，村庄建设用地面积48.7公顷，农村宅基地总面积为37.66公顷，户均宅基地面积减至378</w:t>
      </w:r>
      <w:r>
        <w:t xml:space="preserve"> </w:t>
      </w:r>
      <w:r>
        <w:rPr>
          <w:rFonts w:hint="eastAsia"/>
        </w:rPr>
        <w:t>m</w:t>
      </w:r>
      <w:r>
        <w:rPr>
          <w:rFonts w:hint="eastAsia"/>
          <w:vertAlign w:val="superscript"/>
        </w:rPr>
        <w:t>2</w:t>
      </w:r>
      <w:r>
        <w:rPr>
          <w:rFonts w:hint="eastAsia"/>
        </w:rPr>
        <w:t>/户，人均建设用地面积174.17</w:t>
      </w:r>
      <w:r>
        <w:t xml:space="preserve"> </w:t>
      </w:r>
      <w:r>
        <w:rPr>
          <w:rFonts w:hint="eastAsia"/>
        </w:rPr>
        <w:t>m</w:t>
      </w:r>
      <w:r>
        <w:rPr>
          <w:rFonts w:hint="eastAsia"/>
          <w:vertAlign w:val="superscript"/>
        </w:rPr>
        <w:t>2</w:t>
      </w:r>
      <w:r>
        <w:rPr>
          <w:rFonts w:hint="eastAsia"/>
        </w:rPr>
        <w:t>/人。</w:t>
      </w:r>
    </w:p>
    <w:p>
      <w:pPr>
        <w:keepNext w:val="0"/>
        <w:keepLines w:val="0"/>
        <w:pageBreakBefore w:val="0"/>
        <w:widowControl w:val="0"/>
        <w:kinsoku/>
        <w:wordWrap/>
        <w:overflowPunct/>
        <w:topLinePunct w:val="0"/>
        <w:autoSpaceDE/>
        <w:autoSpaceDN/>
        <w:bidi w:val="0"/>
        <w:adjustRightInd/>
        <w:snapToGrid/>
        <w:spacing w:before="160" w:after="160"/>
        <w:ind w:firstLine="0" w:firstLineChars="0"/>
        <w:jc w:val="center"/>
        <w:textAlignment w:val="auto"/>
        <w:rPr>
          <w:b/>
          <w:bCs/>
          <w:sz w:val="30"/>
          <w:szCs w:val="30"/>
        </w:rPr>
      </w:pPr>
      <w:r>
        <w:rPr>
          <w:b/>
          <w:bCs/>
          <w:sz w:val="30"/>
          <w:szCs w:val="30"/>
        </w:rPr>
        <w:t>规划指标表</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0"/>
        <w:gridCol w:w="850"/>
        <w:gridCol w:w="3750"/>
        <w:gridCol w:w="850"/>
        <w:gridCol w:w="851"/>
        <w:gridCol w:w="853"/>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vMerge w:val="restar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序号</w:t>
            </w:r>
          </w:p>
        </w:tc>
        <w:tc>
          <w:tcPr>
            <w:tcW w:w="595" w:type="pct"/>
            <w:vMerge w:val="restar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类型</w:t>
            </w:r>
          </w:p>
        </w:tc>
        <w:tc>
          <w:tcPr>
            <w:tcW w:w="1428" w:type="pct"/>
            <w:vMerge w:val="restar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指标</w:t>
            </w:r>
          </w:p>
        </w:tc>
        <w:tc>
          <w:tcPr>
            <w:tcW w:w="595" w:type="pct"/>
            <w:vMerge w:val="restar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现状</w:t>
            </w:r>
          </w:p>
        </w:tc>
        <w:tc>
          <w:tcPr>
            <w:tcW w:w="1191" w:type="pct"/>
            <w:gridSpan w:val="2"/>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规划目标</w:t>
            </w:r>
          </w:p>
        </w:tc>
        <w:tc>
          <w:tcPr>
            <w:tcW w:w="595" w:type="pct"/>
            <w:vMerge w:val="restar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vMerge w:val="continue"/>
            <w:vAlign w:val="center"/>
          </w:tcPr>
          <w:p>
            <w:pPr>
              <w:pStyle w:val="18"/>
              <w:snapToGrid w:val="0"/>
              <w:rPr>
                <w:rFonts w:ascii="Times New Roman" w:hAnsi="Times New Roman" w:eastAsia="仿宋_GB2312" w:cs="Times New Roman"/>
                <w:sz w:val="22"/>
              </w:rPr>
            </w:pP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vMerge w:val="continue"/>
            <w:vAlign w:val="center"/>
          </w:tcPr>
          <w:p>
            <w:pPr>
              <w:pStyle w:val="18"/>
              <w:snapToGrid w:val="0"/>
              <w:rPr>
                <w:rFonts w:ascii="Times New Roman" w:hAnsi="Times New Roman" w:eastAsia="仿宋_GB2312" w:cs="Times New Roman"/>
                <w:sz w:val="22"/>
              </w:rPr>
            </w:pPr>
          </w:p>
        </w:tc>
        <w:tc>
          <w:tcPr>
            <w:tcW w:w="595" w:type="pct"/>
            <w:vMerge w:val="continue"/>
            <w:vAlign w:val="center"/>
          </w:tcPr>
          <w:p>
            <w:pPr>
              <w:pStyle w:val="18"/>
              <w:snapToGrid w:val="0"/>
              <w:rPr>
                <w:rFonts w:ascii="Times New Roman" w:hAnsi="Times New Roman" w:eastAsia="仿宋_GB2312" w:cs="Times New Roman"/>
                <w:sz w:val="22"/>
              </w:rPr>
            </w:pP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近期</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远期</w:t>
            </w:r>
          </w:p>
        </w:tc>
        <w:tc>
          <w:tcPr>
            <w:tcW w:w="595" w:type="pct"/>
            <w:vMerge w:val="continue"/>
            <w:vAlign w:val="center"/>
          </w:tcPr>
          <w:p>
            <w:pPr>
              <w:pStyle w:val="18"/>
              <w:snapToGrid w:val="0"/>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w:t>
            </w:r>
          </w:p>
        </w:tc>
        <w:tc>
          <w:tcPr>
            <w:tcW w:w="595" w:type="pct"/>
            <w:vMerge w:val="restar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村庄发展</w:t>
            </w: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常住人口量（人）</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1100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1094</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1090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2</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户籍人口（人）</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2831</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2820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2796</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3</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村庄集体收入（万元）</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11</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15</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30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4</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人均可支配收入（元）</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20800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25279</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31822</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5</w:t>
            </w:r>
          </w:p>
        </w:tc>
        <w:tc>
          <w:tcPr>
            <w:tcW w:w="595" w:type="pct"/>
            <w:vMerge w:val="restar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国土空间开发保护</w:t>
            </w: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耕地保有量（公顷）</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152.93</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152.93</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152.93</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6</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永久基本农田保护面积（公顷）</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141.92</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141.92</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141.92</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7</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生态保护红线规模（公顷）</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8</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林地保有量（公顷）</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3.96</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2.28</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2.28</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9</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湿地面积（公顷）</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10</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村庄建设边界面积（公顷）</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48.32</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48.7</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48.7</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11</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留白用地（公顷）</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1.68</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1.68</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12</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建设用地总规模（公顷）</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54.83</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55.22</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55.22</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13</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新增建设用地规模（公顷）</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0.39</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0.39</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14</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人均村庄建设用地面积（m²/人）</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170.7</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172.9</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174.17</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15</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公共管理与公共服务设施用地（公顷）</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0.49</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0.49</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0.49</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16</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基础设施用地规模（公顷）</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0.04</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0.04</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17</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集体经营性建设用地面积（公顷）</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0.94</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1.36</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1.85</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18</w:t>
            </w:r>
          </w:p>
        </w:tc>
        <w:tc>
          <w:tcPr>
            <w:tcW w:w="595" w:type="pct"/>
            <w:vMerge w:val="restar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人居环境</w:t>
            </w: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农村生活垃圾收集处理率（%）</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75</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100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100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19</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村庄污水处理率（%）</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30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50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95</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20</w:t>
            </w:r>
          </w:p>
        </w:tc>
        <w:tc>
          <w:tcPr>
            <w:tcW w:w="595" w:type="pct"/>
            <w:vMerge w:val="continue"/>
            <w:vAlign w:val="center"/>
          </w:tcPr>
          <w:p>
            <w:pPr>
              <w:pStyle w:val="18"/>
              <w:snapToGrid w:val="0"/>
              <w:rPr>
                <w:rFonts w:ascii="Times New Roman" w:hAnsi="Times New Roman" w:eastAsia="仿宋_GB2312" w:cs="Times New Roman"/>
                <w:sz w:val="22"/>
              </w:rPr>
            </w:pPr>
          </w:p>
        </w:tc>
        <w:tc>
          <w:tcPr>
            <w:tcW w:w="1428" w:type="pct"/>
            <w:shd w:val="clear" w:color="auto" w:fill="auto"/>
            <w:noWrap/>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户用厕所普及率（%）</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72</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90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100</w:t>
            </w:r>
          </w:p>
        </w:tc>
        <w:tc>
          <w:tcPr>
            <w:tcW w:w="595" w:type="pct"/>
            <w:shd w:val="clear" w:color="auto" w:fill="auto"/>
            <w:vAlign w:val="center"/>
          </w:tcPr>
          <w:p>
            <w:pPr>
              <w:pStyle w:val="18"/>
              <w:snapToGrid w:val="0"/>
              <w:rPr>
                <w:rFonts w:ascii="Times New Roman" w:hAnsi="Times New Roman" w:eastAsia="仿宋_GB2312" w:cs="Times New Roman"/>
                <w:sz w:val="22"/>
              </w:rPr>
            </w:pPr>
            <w:r>
              <w:rPr>
                <w:rFonts w:ascii="Times New Roman" w:hAnsi="Times New Roman" w:eastAsia="仿宋_GB2312" w:cs="Times New Roman"/>
                <w:sz w:val="22"/>
              </w:rPr>
              <w:t>预期性</w:t>
            </w:r>
          </w:p>
        </w:tc>
      </w:tr>
    </w:tbl>
    <w:p>
      <w:pPr>
        <w:pStyle w:val="11"/>
        <w:keepNext w:val="0"/>
        <w:keepLines w:val="0"/>
        <w:pageBreakBefore w:val="0"/>
        <w:widowControl w:val="0"/>
        <w:numPr>
          <w:ilvl w:val="0"/>
          <w:numId w:val="0"/>
        </w:numPr>
        <w:kinsoku/>
        <w:wordWrap/>
        <w:overflowPunct/>
        <w:topLinePunct w:val="0"/>
        <w:autoSpaceDE/>
        <w:autoSpaceDN/>
        <w:bidi w:val="0"/>
        <w:adjustRightInd/>
        <w:snapToGrid/>
        <w:spacing w:before="160" w:after="160"/>
        <w:ind w:left="419" w:leftChars="0" w:hanging="419" w:hangingChars="131"/>
        <w:textAlignment w:val="auto"/>
        <w:rPr>
          <w:rFonts w:ascii="黑体" w:hAnsi="黑体" w:eastAsia="黑体" w:cs="黑体"/>
          <w:szCs w:val="32"/>
        </w:rPr>
      </w:pPr>
      <w:r>
        <w:rPr>
          <w:rFonts w:hint="eastAsia" w:ascii="黑体" w:hAnsi="黑体" w:eastAsia="黑体" w:cs="黑体"/>
          <w:kern w:val="2"/>
          <w:sz w:val="32"/>
          <w:szCs w:val="32"/>
          <w:lang w:val="en-US" w:eastAsia="zh-CN" w:bidi="ar-SA"/>
        </w:rPr>
        <w:t>三、</w:t>
      </w:r>
      <w:r>
        <w:rPr>
          <w:rFonts w:ascii="黑体" w:hAnsi="黑体" w:eastAsia="黑体" w:cs="黑体"/>
          <w:szCs w:val="32"/>
        </w:rPr>
        <w:t>国土空间总体格局</w:t>
      </w:r>
    </w:p>
    <w:p>
      <w:pPr>
        <w:ind w:firstLine="640"/>
      </w:pPr>
      <w:r>
        <w:rPr>
          <w:rFonts w:hint="eastAsia"/>
        </w:rPr>
        <w:t>巴浪湖村本次规划国土总面积251.83公顷，规划落实巴浪湖村永久基本农田141.92公顷。</w:t>
      </w:r>
    </w:p>
    <w:p>
      <w:pPr>
        <w:ind w:firstLine="640"/>
      </w:pPr>
      <w:r>
        <w:rPr>
          <w:rFonts w:hint="eastAsia"/>
        </w:rPr>
        <w:t>（1）规划划定村庄建设用地面积55.22公顷，并划定村庄建设边界面积48.70公顷。包括：居住用地37.78公顷，公共管理与公共服务用地0.49公顷，商业服务业用地1.85公顷，工矿用地0.87公顷，仓储用地0.18公顷，交通运输用地6.62公顷，公用设施用地0.04公顷，绿地与开敞空间用地1.19公顷，村庄</w:t>
      </w:r>
      <w:r>
        <w:t>内部道路用地3.97</w:t>
      </w:r>
      <w:r>
        <w:rPr>
          <w:rFonts w:hint="eastAsia"/>
        </w:rPr>
        <w:t>，特殊用地0.55公顷，留白用地1.68公顷。</w:t>
      </w:r>
    </w:p>
    <w:p>
      <w:pPr>
        <w:ind w:firstLine="640"/>
      </w:pPr>
      <w:r>
        <w:rPr>
          <w:rFonts w:hint="eastAsia"/>
        </w:rPr>
        <w:t>（</w:t>
      </w:r>
      <w:r>
        <w:rPr>
          <w:rFonts w:hint="eastAsia"/>
          <w:lang w:val="en-US" w:eastAsia="zh-CN"/>
        </w:rPr>
        <w:t>2</w:t>
      </w:r>
      <w:r>
        <w:rPr>
          <w:rFonts w:hint="eastAsia"/>
        </w:rPr>
        <w:t>）规划划定村庄农业空间面积187.05公顷，包括：耕地157.03公顷，园地1.30公顷，农业设施建设用地</w:t>
      </w:r>
      <w:r>
        <w:t>3.41</w:t>
      </w:r>
      <w:r>
        <w:rPr>
          <w:rFonts w:hint="eastAsia"/>
        </w:rPr>
        <w:t>公顷，沟渠22.13公顷</w:t>
      </w:r>
      <w:r>
        <w:t>，</w:t>
      </w:r>
      <w:r>
        <w:rPr>
          <w:rFonts w:hint="eastAsia"/>
        </w:rPr>
        <w:t>田间道</w:t>
      </w:r>
      <w:r>
        <w:t>2.59</w:t>
      </w:r>
      <w:r>
        <w:rPr>
          <w:rFonts w:hint="eastAsia"/>
        </w:rPr>
        <w:t>公顷。</w:t>
      </w:r>
    </w:p>
    <w:p>
      <w:pPr>
        <w:ind w:firstLine="640"/>
      </w:pPr>
      <w:r>
        <w:rPr>
          <w:rFonts w:hint="eastAsia"/>
        </w:rPr>
        <w:t>（</w:t>
      </w:r>
      <w:r>
        <w:rPr>
          <w:rFonts w:hint="eastAsia"/>
          <w:lang w:val="en-US" w:eastAsia="zh-CN"/>
        </w:rPr>
        <w:t>3</w:t>
      </w:r>
      <w:r>
        <w:rPr>
          <w:rFonts w:hint="eastAsia"/>
        </w:rPr>
        <w:t>）规划划定村庄生态空间面积</w:t>
      </w:r>
      <w:r>
        <w:t>9.56</w:t>
      </w:r>
      <w:r>
        <w:rPr>
          <w:rFonts w:hint="eastAsia"/>
        </w:rPr>
        <w:t>公顷，包括：林地面积</w:t>
      </w:r>
      <w:r>
        <w:t>2.28</w:t>
      </w:r>
      <w:r>
        <w:rPr>
          <w:rFonts w:hint="eastAsia"/>
        </w:rPr>
        <w:t>公顷，草地面积</w:t>
      </w:r>
      <w:r>
        <w:t>0.86</w:t>
      </w:r>
      <w:r>
        <w:rPr>
          <w:rFonts w:hint="eastAsia"/>
        </w:rPr>
        <w:t>公顷，陆地水域</w:t>
      </w:r>
      <w:r>
        <w:t>7.27</w:t>
      </w:r>
      <w:r>
        <w:rPr>
          <w:rFonts w:hint="eastAsia"/>
        </w:rPr>
        <w:t>公顷。</w:t>
      </w:r>
    </w:p>
    <w:p>
      <w:pPr>
        <w:pStyle w:val="11"/>
        <w:keepNext w:val="0"/>
        <w:keepLines w:val="0"/>
        <w:pageBreakBefore w:val="0"/>
        <w:widowControl w:val="0"/>
        <w:numPr>
          <w:ilvl w:val="0"/>
          <w:numId w:val="0"/>
        </w:numPr>
        <w:kinsoku/>
        <w:wordWrap/>
        <w:overflowPunct/>
        <w:topLinePunct w:val="0"/>
        <w:autoSpaceDE/>
        <w:autoSpaceDN/>
        <w:bidi w:val="0"/>
        <w:adjustRightInd/>
        <w:snapToGrid/>
        <w:spacing w:before="160" w:after="160"/>
        <w:ind w:left="419" w:leftChars="0" w:hanging="419" w:hangingChars="131"/>
        <w:textAlignment w:val="auto"/>
        <w:rPr>
          <w:rFonts w:ascii="黑体" w:hAnsi="黑体" w:eastAsia="黑体" w:cs="黑体"/>
          <w:szCs w:val="32"/>
        </w:rPr>
      </w:pPr>
      <w:bookmarkStart w:id="0" w:name="_Toc109978909"/>
      <w:bookmarkStart w:id="1" w:name="_Toc141627608"/>
      <w:r>
        <w:rPr>
          <w:rFonts w:hint="eastAsia" w:ascii="黑体" w:hAnsi="黑体" w:eastAsia="黑体" w:cs="黑体"/>
          <w:kern w:val="2"/>
          <w:sz w:val="32"/>
          <w:szCs w:val="32"/>
          <w:lang w:val="en-US" w:eastAsia="zh-CN" w:bidi="ar-SA"/>
        </w:rPr>
        <w:t>四、</w:t>
      </w:r>
      <w:r>
        <w:rPr>
          <w:rFonts w:ascii="黑体" w:hAnsi="黑体" w:eastAsia="黑体" w:cs="黑体"/>
          <w:szCs w:val="32"/>
        </w:rPr>
        <w:t>产业布局</w:t>
      </w:r>
      <w:bookmarkEnd w:id="0"/>
      <w:bookmarkEnd w:id="1"/>
      <w:r>
        <w:rPr>
          <w:rFonts w:hint="eastAsia" w:ascii="黑体" w:hAnsi="黑体" w:eastAsia="黑体" w:cs="黑体"/>
          <w:szCs w:val="32"/>
        </w:rPr>
        <w:t>规划</w:t>
      </w:r>
    </w:p>
    <w:p>
      <w:pPr>
        <w:ind w:firstLine="640"/>
      </w:pPr>
      <w:r>
        <w:rPr>
          <w:rFonts w:hint="eastAsia"/>
        </w:rPr>
        <w:t>结合利通区、马莲渠乡产业发展策略，规划确定巴浪湖村产业发展形成“</w:t>
      </w:r>
      <w:r>
        <w:rPr>
          <w:rFonts w:hint="eastAsia"/>
          <w:b/>
        </w:rPr>
        <w:t>一心一轴三区多点</w:t>
      </w:r>
      <w:r>
        <w:rPr>
          <w:rFonts w:hint="eastAsia"/>
        </w:rPr>
        <w:t>”产业总体布局。</w:t>
      </w:r>
    </w:p>
    <w:p>
      <w:pPr>
        <w:ind w:firstLine="640"/>
      </w:pPr>
      <w:r>
        <w:rPr>
          <w:rFonts w:hint="eastAsia"/>
        </w:rPr>
        <w:t>“一心”：综合服务中心。以村委会为</w:t>
      </w:r>
      <w:r>
        <w:t>核心</w:t>
      </w:r>
      <w:r>
        <w:rPr>
          <w:rFonts w:hint="eastAsia"/>
        </w:rPr>
        <w:t>形成的服务于周边区域的村庄综合配套服务中心。</w:t>
      </w:r>
    </w:p>
    <w:p>
      <w:pPr>
        <w:ind w:firstLine="640"/>
      </w:pPr>
      <w:r>
        <w:rPr>
          <w:rFonts w:hint="eastAsia"/>
        </w:rPr>
        <w:t>“一轴”：产业发展轴。依托巴浪湖村主干道，形成东西向村庄产业发展轴。</w:t>
      </w:r>
    </w:p>
    <w:p>
      <w:pPr>
        <w:ind w:firstLine="640"/>
      </w:pPr>
      <w:r>
        <w:rPr>
          <w:rFonts w:hint="eastAsia"/>
        </w:rPr>
        <w:t>“三区”：现代农业种植区、乡村旅游区、村落生活区。</w:t>
      </w:r>
    </w:p>
    <w:p>
      <w:pPr>
        <w:ind w:firstLine="640"/>
      </w:pPr>
      <w:r>
        <w:rPr>
          <w:rFonts w:hint="eastAsia"/>
        </w:rPr>
        <w:t>现代农业种植区：推进高标准农田建设，加快农业机械化、规模化、标准化力度，形成高效高产的玉米和小麦种植区。村落生活区：加快推动各组人居环境整治和基础设施建设，打造成美丽宜居村庄。乡村旅游区：在利红公路西侧居民点建设的基础上，改造建设农家小院和农家乐，新建采摘大棚，打造舒适惬意的乡村休闲环境。</w:t>
      </w:r>
    </w:p>
    <w:p>
      <w:pPr>
        <w:ind w:firstLine="640"/>
      </w:pPr>
      <w:r>
        <w:rPr>
          <w:rFonts w:hint="eastAsia"/>
        </w:rPr>
        <w:t>“多点”：村庄联动发展节点，包括采摘欢乐园、步行美食街、食品加工中心、设施农业节点等村庄产业节点。</w:t>
      </w:r>
    </w:p>
    <w:p>
      <w:pPr>
        <w:spacing w:line="240" w:lineRule="auto"/>
        <w:ind w:firstLine="0" w:firstLineChars="0"/>
        <w:jc w:val="center"/>
      </w:pPr>
      <w:r>
        <w:drawing>
          <wp:anchor distT="0" distB="0" distL="0" distR="0" simplePos="0" relativeHeight="251660288" behindDoc="1" locked="0" layoutInCell="1" allowOverlap="1">
            <wp:simplePos x="0" y="0"/>
            <wp:positionH relativeFrom="column">
              <wp:posOffset>-77470</wp:posOffset>
            </wp:positionH>
            <wp:positionV relativeFrom="paragraph">
              <wp:posOffset>202565</wp:posOffset>
            </wp:positionV>
            <wp:extent cx="5577840" cy="5645150"/>
            <wp:effectExtent l="0" t="0" r="3810" b="12700"/>
            <wp:wrapNone/>
            <wp:docPr id="2" name="图片 2" descr="I:\weix_download\WeChat Files\wxid_xfpcgjs8hazj21\FileStorage\Temp\1700708355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weix_download\WeChat Files\wxid_xfpcgjs8hazj21\FileStorage\Temp\170070835584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77840" cy="56451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60" w:after="160" w:line="240" w:lineRule="auto"/>
        <w:ind w:firstLine="0" w:firstLineChars="0"/>
        <w:jc w:val="center"/>
        <w:textAlignment w:val="auto"/>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160" w:after="160" w:line="240" w:lineRule="auto"/>
        <w:ind w:firstLine="0" w:firstLineChars="0"/>
        <w:jc w:val="center"/>
        <w:textAlignment w:val="auto"/>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160" w:after="160" w:line="240" w:lineRule="auto"/>
        <w:ind w:firstLine="0" w:firstLineChars="0"/>
        <w:jc w:val="center"/>
        <w:textAlignment w:val="auto"/>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160" w:after="160" w:line="240" w:lineRule="auto"/>
        <w:ind w:firstLine="0" w:firstLineChars="0"/>
        <w:jc w:val="center"/>
        <w:textAlignment w:val="auto"/>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160" w:after="160" w:line="240" w:lineRule="auto"/>
        <w:ind w:firstLine="0" w:firstLineChars="0"/>
        <w:jc w:val="center"/>
        <w:textAlignment w:val="auto"/>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160" w:after="160" w:line="240" w:lineRule="auto"/>
        <w:ind w:firstLine="0" w:firstLineChars="0"/>
        <w:jc w:val="center"/>
        <w:textAlignment w:val="auto"/>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160" w:after="160" w:line="240" w:lineRule="auto"/>
        <w:ind w:firstLine="0" w:firstLineChars="0"/>
        <w:jc w:val="center"/>
        <w:textAlignment w:val="auto"/>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160" w:after="160" w:line="240" w:lineRule="auto"/>
        <w:ind w:firstLine="0" w:firstLineChars="0"/>
        <w:jc w:val="center"/>
        <w:textAlignment w:val="auto"/>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160" w:after="160" w:line="240" w:lineRule="auto"/>
        <w:ind w:firstLine="0" w:firstLineChars="0"/>
        <w:jc w:val="center"/>
        <w:textAlignment w:val="auto"/>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160" w:after="160" w:line="240" w:lineRule="auto"/>
        <w:ind w:firstLine="0" w:firstLineChars="0"/>
        <w:jc w:val="center"/>
        <w:textAlignment w:val="auto"/>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160" w:after="160" w:line="240" w:lineRule="auto"/>
        <w:ind w:firstLine="0" w:firstLineChars="0"/>
        <w:jc w:val="center"/>
        <w:textAlignment w:val="auto"/>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160" w:after="160" w:line="240" w:lineRule="auto"/>
        <w:ind w:firstLine="0" w:firstLineChars="0"/>
        <w:jc w:val="center"/>
        <w:textAlignment w:val="auto"/>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160" w:after="160" w:line="240" w:lineRule="auto"/>
        <w:ind w:firstLine="0" w:firstLineChars="0"/>
        <w:jc w:val="center"/>
        <w:textAlignment w:val="auto"/>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160" w:after="160" w:line="240" w:lineRule="auto"/>
        <w:ind w:firstLine="0" w:firstLineChars="0"/>
        <w:jc w:val="center"/>
        <w:textAlignment w:val="auto"/>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160" w:after="160" w:line="240" w:lineRule="auto"/>
        <w:ind w:firstLine="0" w:firstLineChars="0"/>
        <w:jc w:val="center"/>
        <w:textAlignment w:val="auto"/>
        <w:rPr>
          <w:rFonts w:hint="eastAsia"/>
          <w:b/>
          <w:bCs/>
          <w:sz w:val="32"/>
          <w:szCs w:val="32"/>
        </w:rPr>
      </w:pPr>
    </w:p>
    <w:p>
      <w:pPr>
        <w:keepNext w:val="0"/>
        <w:keepLines w:val="0"/>
        <w:pageBreakBefore w:val="0"/>
        <w:widowControl w:val="0"/>
        <w:kinsoku/>
        <w:wordWrap/>
        <w:overflowPunct/>
        <w:topLinePunct w:val="0"/>
        <w:autoSpaceDE/>
        <w:autoSpaceDN/>
        <w:bidi w:val="0"/>
        <w:adjustRightInd/>
        <w:snapToGrid/>
        <w:spacing w:before="160" w:after="160" w:line="240" w:lineRule="auto"/>
        <w:ind w:firstLine="0" w:firstLineChars="0"/>
        <w:jc w:val="center"/>
        <w:textAlignment w:val="auto"/>
        <w:rPr>
          <w:rFonts w:hint="eastAsia" w:ascii="黑体" w:hAnsi="黑体" w:eastAsia="黑体" w:cs="黑体"/>
          <w:kern w:val="2"/>
          <w:sz w:val="32"/>
          <w:szCs w:val="32"/>
          <w:lang w:val="en-US" w:eastAsia="zh-CN" w:bidi="ar-SA"/>
        </w:rPr>
      </w:pPr>
      <w:r>
        <w:rPr>
          <w:rFonts w:hint="eastAsia"/>
          <w:b/>
          <w:bCs/>
          <w:sz w:val="32"/>
          <w:szCs w:val="32"/>
        </w:rPr>
        <w:t>村庄</w:t>
      </w:r>
      <w:r>
        <w:rPr>
          <w:b/>
          <w:bCs/>
          <w:sz w:val="32"/>
          <w:szCs w:val="32"/>
        </w:rPr>
        <w:t>产业布局结构图</w:t>
      </w:r>
    </w:p>
    <w:p>
      <w:pPr>
        <w:pStyle w:val="11"/>
        <w:keepNext w:val="0"/>
        <w:keepLines w:val="0"/>
        <w:pageBreakBefore w:val="0"/>
        <w:widowControl w:val="0"/>
        <w:numPr>
          <w:ilvl w:val="0"/>
          <w:numId w:val="0"/>
        </w:numPr>
        <w:kinsoku/>
        <w:wordWrap/>
        <w:overflowPunct/>
        <w:topLinePunct w:val="0"/>
        <w:autoSpaceDE/>
        <w:autoSpaceDN/>
        <w:bidi w:val="0"/>
        <w:adjustRightInd/>
        <w:snapToGrid/>
        <w:spacing w:before="160" w:after="160"/>
        <w:textAlignment w:val="auto"/>
        <w:rPr>
          <w:rFonts w:ascii="黑体" w:hAnsi="黑体" w:eastAsia="黑体" w:cs="黑体"/>
          <w:szCs w:val="32"/>
        </w:rPr>
      </w:pPr>
      <w:r>
        <w:rPr>
          <w:rFonts w:hint="eastAsia" w:ascii="黑体" w:hAnsi="黑体" w:eastAsia="黑体" w:cs="黑体"/>
          <w:kern w:val="2"/>
          <w:sz w:val="32"/>
          <w:szCs w:val="32"/>
          <w:lang w:val="en-US" w:eastAsia="zh-CN" w:bidi="ar-SA"/>
        </w:rPr>
        <w:t>五、</w:t>
      </w:r>
      <w:r>
        <w:rPr>
          <w:rFonts w:hint="eastAsia" w:ascii="黑体" w:hAnsi="黑体" w:eastAsia="黑体" w:cs="黑体"/>
          <w:szCs w:val="32"/>
        </w:rPr>
        <w:t>居民点建设规划</w:t>
      </w:r>
    </w:p>
    <w:p>
      <w:pPr>
        <w:keepNext w:val="0"/>
        <w:keepLines w:val="0"/>
        <w:pageBreakBefore w:val="0"/>
        <w:widowControl w:val="0"/>
        <w:kinsoku/>
        <w:wordWrap/>
        <w:overflowPunct/>
        <w:topLinePunct w:val="0"/>
        <w:autoSpaceDE/>
        <w:autoSpaceDN/>
        <w:bidi w:val="0"/>
        <w:adjustRightInd/>
        <w:snapToGrid/>
        <w:spacing w:line="660" w:lineRule="exact"/>
        <w:ind w:firstLine="640"/>
        <w:textAlignment w:val="auto"/>
      </w:pPr>
      <w:r>
        <w:rPr>
          <w:rFonts w:hint="eastAsia"/>
        </w:rPr>
        <w:t>本次规划在现状的基础上，结合村域国土综合整治，对现有部分零散农宅进行整合，充分利用村庄空置建设用地，同时大力完善村庄公共服务设施和基础设施。</w:t>
      </w:r>
    </w:p>
    <w:p>
      <w:pPr>
        <w:keepNext w:val="0"/>
        <w:keepLines w:val="0"/>
        <w:pageBreakBefore w:val="0"/>
        <w:widowControl w:val="0"/>
        <w:kinsoku/>
        <w:wordWrap/>
        <w:overflowPunct/>
        <w:topLinePunct w:val="0"/>
        <w:autoSpaceDE/>
        <w:autoSpaceDN/>
        <w:bidi w:val="0"/>
        <w:adjustRightInd/>
        <w:snapToGrid/>
        <w:spacing w:line="660" w:lineRule="exact"/>
        <w:ind w:firstLine="640"/>
        <w:textAlignment w:val="auto"/>
      </w:pPr>
      <w:r>
        <w:rPr>
          <w:rFonts w:hint="eastAsia"/>
        </w:rPr>
        <w:t>（1）规划对村庄一组最南侧6户居民实施拆除搬迁，以就近安置为原则，在居民点内进行插花安置，规划拆除院落6户，新建院落6户。</w:t>
      </w:r>
    </w:p>
    <w:p>
      <w:pPr>
        <w:keepNext w:val="0"/>
        <w:keepLines w:val="0"/>
        <w:pageBreakBefore w:val="0"/>
        <w:widowControl w:val="0"/>
        <w:kinsoku/>
        <w:wordWrap/>
        <w:overflowPunct/>
        <w:topLinePunct w:val="0"/>
        <w:autoSpaceDE/>
        <w:autoSpaceDN/>
        <w:bidi w:val="0"/>
        <w:adjustRightInd/>
        <w:snapToGrid/>
        <w:spacing w:line="660" w:lineRule="exact"/>
        <w:ind w:firstLine="640"/>
        <w:textAlignment w:val="auto"/>
      </w:pPr>
      <w:r>
        <w:rPr>
          <w:rFonts w:hint="eastAsia"/>
        </w:rPr>
        <w:t>（2）规划对柴八路实施道路拓宽，打通尽端式道路，并补充布设太阳能路灯，消除交通不便和消防隐患，为村民出行和生产运输提供良好的交通环境。</w:t>
      </w:r>
    </w:p>
    <w:p>
      <w:pPr>
        <w:keepNext w:val="0"/>
        <w:keepLines w:val="0"/>
        <w:pageBreakBefore w:val="0"/>
        <w:widowControl w:val="0"/>
        <w:kinsoku/>
        <w:wordWrap/>
        <w:overflowPunct/>
        <w:topLinePunct w:val="0"/>
        <w:autoSpaceDE/>
        <w:autoSpaceDN/>
        <w:bidi w:val="0"/>
        <w:adjustRightInd/>
        <w:snapToGrid/>
        <w:spacing w:line="660" w:lineRule="exact"/>
        <w:ind w:firstLine="640"/>
        <w:textAlignment w:val="auto"/>
      </w:pPr>
      <w:r>
        <w:rPr>
          <w:rFonts w:hint="eastAsia"/>
        </w:rPr>
        <w:t>（3）完善村庄公共服务设施，将空置</w:t>
      </w:r>
      <w:r>
        <w:t>小学改</w:t>
      </w:r>
      <w:r>
        <w:rPr>
          <w:rFonts w:hint="eastAsia"/>
        </w:rPr>
        <w:t>造为村庄综合服务中心。在村庄二组中心位置利用村庄空地建设公共活动广场1处。</w:t>
      </w:r>
    </w:p>
    <w:p>
      <w:pPr>
        <w:keepNext w:val="0"/>
        <w:keepLines w:val="0"/>
        <w:pageBreakBefore w:val="0"/>
        <w:widowControl w:val="0"/>
        <w:kinsoku/>
        <w:wordWrap/>
        <w:overflowPunct/>
        <w:topLinePunct w:val="0"/>
        <w:autoSpaceDE/>
        <w:autoSpaceDN/>
        <w:bidi w:val="0"/>
        <w:adjustRightInd/>
        <w:snapToGrid/>
        <w:spacing w:line="660" w:lineRule="exact"/>
        <w:ind w:firstLine="640"/>
        <w:textAlignment w:val="auto"/>
      </w:pPr>
      <w:r>
        <w:rPr>
          <w:rFonts w:hint="eastAsia"/>
        </w:rPr>
        <w:t>在利红公路西侧居民点新建活动广场，占地面积3700平方米，</w:t>
      </w:r>
      <w:r>
        <w:t>在</w:t>
      </w:r>
      <w:r>
        <w:rPr>
          <w:rFonts w:hint="eastAsia"/>
        </w:rPr>
        <w:t>其中布设绿化、廊架、方亭、儿童游乐设施等促进村庄产业发展。同时在广场西侧新建1000平方米停车场一处，用于游玩人员的停车需求。</w:t>
      </w:r>
    </w:p>
    <w:p>
      <w:pPr>
        <w:keepNext w:val="0"/>
        <w:keepLines w:val="0"/>
        <w:pageBreakBefore w:val="0"/>
        <w:widowControl w:val="0"/>
        <w:kinsoku/>
        <w:wordWrap/>
        <w:overflowPunct/>
        <w:topLinePunct w:val="0"/>
        <w:autoSpaceDE/>
        <w:autoSpaceDN/>
        <w:bidi w:val="0"/>
        <w:adjustRightInd/>
        <w:snapToGrid/>
        <w:spacing w:line="660" w:lineRule="exact"/>
        <w:ind w:firstLine="640"/>
        <w:textAlignment w:val="auto"/>
      </w:pPr>
      <w:r>
        <w:rPr>
          <w:rFonts w:hint="eastAsia"/>
        </w:rPr>
        <w:t>（</w:t>
      </w:r>
      <w:r>
        <w:t>4</w:t>
      </w:r>
      <w:r>
        <w:rPr>
          <w:rFonts w:hint="eastAsia"/>
        </w:rPr>
        <w:t>）规划在利红公路西侧居民点改造步行美食街，柴八路以南居民点内新建农家小院4座，农家乐2座。</w:t>
      </w:r>
    </w:p>
    <w:p>
      <w:pPr>
        <w:spacing w:line="240" w:lineRule="auto"/>
        <w:ind w:firstLine="0" w:firstLineChars="0"/>
        <w:jc w:val="center"/>
        <w:rPr>
          <w:rFonts w:hint="eastAsia"/>
        </w:rPr>
      </w:pPr>
      <w:r>
        <w:drawing>
          <wp:anchor distT="0" distB="0" distL="114300" distR="114300" simplePos="0" relativeHeight="251659264" behindDoc="0" locked="0" layoutInCell="1" allowOverlap="1">
            <wp:simplePos x="0" y="0"/>
            <wp:positionH relativeFrom="column">
              <wp:posOffset>3947160</wp:posOffset>
            </wp:positionH>
            <wp:positionV relativeFrom="paragraph">
              <wp:posOffset>3337560</wp:posOffset>
            </wp:positionV>
            <wp:extent cx="1730375" cy="1551305"/>
            <wp:effectExtent l="0" t="0" r="3175" b="10795"/>
            <wp:wrapNone/>
            <wp:docPr id="4" name="图片 4" descr="I:\weix_download\WeChat Files\wxid_xfpcgjs8hazj21\FileStorage\Temp\1700708823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weix_download\WeChat Files\wxid_xfpcgjs8hazj21\FileStorage\Temp\17007088237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30375" cy="1551305"/>
                    </a:xfrm>
                    <a:prstGeom prst="rect">
                      <a:avLst/>
                    </a:prstGeom>
                    <a:noFill/>
                    <a:ln>
                      <a:noFill/>
                    </a:ln>
                  </pic:spPr>
                </pic:pic>
              </a:graphicData>
            </a:graphic>
          </wp:anchor>
        </w:drawing>
      </w:r>
      <w:r>
        <w:drawing>
          <wp:inline distT="0" distB="0" distL="0" distR="0">
            <wp:extent cx="5676265" cy="4817745"/>
            <wp:effectExtent l="0" t="0" r="635" b="1905"/>
            <wp:docPr id="3" name="图片 3" descr="I:\weix_download\WeChat Files\wxid_xfpcgjs8hazj21\FileStorage\Temp\1700708444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weix_download\WeChat Files\wxid_xfpcgjs8hazj21\FileStorage\Temp\170070844446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76265" cy="4817745"/>
                    </a:xfrm>
                    <a:prstGeom prst="rect">
                      <a:avLst/>
                    </a:prstGeom>
                    <a:noFill/>
                    <a:ln>
                      <a:noFill/>
                    </a:ln>
                  </pic:spPr>
                </pic:pic>
              </a:graphicData>
            </a:graphic>
          </wp:inline>
        </w:drawing>
      </w:r>
    </w:p>
    <w:p>
      <w:pPr>
        <w:pStyle w:val="11"/>
        <w:keepNext w:val="0"/>
        <w:keepLines w:val="0"/>
        <w:pageBreakBefore w:val="0"/>
        <w:widowControl w:val="0"/>
        <w:numPr>
          <w:ilvl w:val="0"/>
          <w:numId w:val="0"/>
        </w:numPr>
        <w:kinsoku/>
        <w:wordWrap/>
        <w:overflowPunct/>
        <w:topLinePunct w:val="0"/>
        <w:autoSpaceDE/>
        <w:autoSpaceDN/>
        <w:bidi w:val="0"/>
        <w:adjustRightInd/>
        <w:snapToGrid/>
        <w:ind w:left="419" w:leftChars="0" w:hanging="419" w:hangingChars="131"/>
        <w:textAlignment w:val="auto"/>
        <w:rPr>
          <w:rFonts w:hint="eastAsia" w:ascii="黑体" w:hAnsi="黑体" w:eastAsia="黑体" w:cs="黑体"/>
          <w:kern w:val="2"/>
          <w:sz w:val="32"/>
          <w:szCs w:val="32"/>
          <w:lang w:val="en-US" w:eastAsia="zh-CN" w:bidi="ar-SA"/>
        </w:rPr>
      </w:pPr>
    </w:p>
    <w:p>
      <w:pPr>
        <w:pStyle w:val="11"/>
        <w:keepNext w:val="0"/>
        <w:keepLines w:val="0"/>
        <w:pageBreakBefore w:val="0"/>
        <w:widowControl w:val="0"/>
        <w:numPr>
          <w:ilvl w:val="0"/>
          <w:numId w:val="0"/>
        </w:numPr>
        <w:kinsoku/>
        <w:wordWrap/>
        <w:overflowPunct/>
        <w:topLinePunct w:val="0"/>
        <w:autoSpaceDE/>
        <w:autoSpaceDN/>
        <w:bidi w:val="0"/>
        <w:adjustRightInd/>
        <w:snapToGrid/>
        <w:ind w:left="419" w:leftChars="0" w:hanging="419" w:hangingChars="131"/>
        <w:textAlignment w:val="auto"/>
        <w:rPr>
          <w:rFonts w:hint="eastAsia" w:ascii="黑体" w:hAnsi="黑体" w:eastAsia="黑体" w:cs="黑体"/>
          <w:kern w:val="2"/>
          <w:sz w:val="32"/>
          <w:szCs w:val="32"/>
          <w:lang w:val="en-US" w:eastAsia="zh-CN" w:bidi="ar-SA"/>
        </w:rPr>
      </w:pPr>
    </w:p>
    <w:p>
      <w:pPr>
        <w:pStyle w:val="11"/>
        <w:keepNext w:val="0"/>
        <w:keepLines w:val="0"/>
        <w:pageBreakBefore w:val="0"/>
        <w:widowControl w:val="0"/>
        <w:numPr>
          <w:ilvl w:val="0"/>
          <w:numId w:val="0"/>
        </w:numPr>
        <w:kinsoku/>
        <w:wordWrap/>
        <w:overflowPunct/>
        <w:topLinePunct w:val="0"/>
        <w:autoSpaceDE/>
        <w:autoSpaceDN/>
        <w:bidi w:val="0"/>
        <w:adjustRightInd/>
        <w:snapToGrid/>
        <w:ind w:left="419" w:leftChars="0" w:hanging="419" w:hangingChars="131"/>
        <w:textAlignment w:val="auto"/>
        <w:rPr>
          <w:rFonts w:ascii="黑体" w:hAnsi="黑体" w:eastAsia="黑体" w:cs="黑体"/>
          <w:szCs w:val="32"/>
        </w:rPr>
      </w:pPr>
      <w:r>
        <w:rPr>
          <w:rFonts w:hint="eastAsia" w:ascii="黑体" w:hAnsi="黑体" w:eastAsia="黑体" w:cs="黑体"/>
          <w:kern w:val="2"/>
          <w:sz w:val="32"/>
          <w:szCs w:val="32"/>
          <w:lang w:val="en-US" w:eastAsia="zh-CN" w:bidi="ar-SA"/>
        </w:rPr>
        <w:t>六、</w:t>
      </w:r>
      <w:r>
        <w:rPr>
          <w:rFonts w:ascii="黑体" w:hAnsi="黑体" w:eastAsia="黑体" w:cs="黑体"/>
          <w:szCs w:val="32"/>
        </w:rPr>
        <w:t>基础设施与公共服务设施规划</w:t>
      </w:r>
    </w:p>
    <w:p>
      <w:pPr>
        <w:ind w:firstLine="640"/>
      </w:pPr>
      <w:r>
        <w:rPr>
          <w:rFonts w:hint="eastAsia"/>
        </w:rPr>
        <w:t>道路交通规划包括梳理路网结构，硬化尚未硬化道路，打通村庄断头路，完善道路交通体系，基础设施规划主要包括补齐基础设施短板，敷设污水管网，推动清洁能源改造，配套完善环卫设施等基础设施。</w:t>
      </w:r>
    </w:p>
    <w:p>
      <w:pPr>
        <w:ind w:firstLine="640"/>
      </w:pPr>
      <w:r>
        <w:rPr>
          <w:rFonts w:hint="eastAsia"/>
        </w:rPr>
        <w:t>公共服务设施按照“缺什么补什么”策略，结合村民意愿，规划重点以配置活动场地、商业服务设施等，完善村庄公共服务设施，结合村庄空地在村庄内规划新增</w:t>
      </w:r>
      <w:r>
        <w:t>2</w:t>
      </w:r>
      <w:r>
        <w:rPr>
          <w:rFonts w:hint="eastAsia"/>
        </w:rPr>
        <w:t>处公共活动场地。</w:t>
      </w:r>
    </w:p>
    <w:p>
      <w:pPr>
        <w:pStyle w:val="11"/>
        <w:keepNext w:val="0"/>
        <w:keepLines w:val="0"/>
        <w:pageBreakBefore w:val="0"/>
        <w:widowControl w:val="0"/>
        <w:numPr>
          <w:ilvl w:val="0"/>
          <w:numId w:val="0"/>
        </w:numPr>
        <w:kinsoku/>
        <w:wordWrap/>
        <w:overflowPunct/>
        <w:topLinePunct w:val="0"/>
        <w:autoSpaceDE/>
        <w:autoSpaceDN/>
        <w:bidi w:val="0"/>
        <w:adjustRightInd/>
        <w:snapToGrid/>
        <w:ind w:left="419" w:leftChars="0" w:hanging="419" w:hangingChars="131"/>
        <w:textAlignment w:val="auto"/>
        <w:rPr>
          <w:rFonts w:ascii="黑体" w:hAnsi="黑体" w:eastAsia="黑体" w:cs="黑体"/>
          <w:szCs w:val="32"/>
        </w:rPr>
      </w:pPr>
      <w:r>
        <w:rPr>
          <w:rFonts w:hint="eastAsia" w:ascii="黑体" w:hAnsi="黑体" w:eastAsia="黑体" w:cs="黑体"/>
          <w:kern w:val="2"/>
          <w:sz w:val="32"/>
          <w:szCs w:val="32"/>
          <w:lang w:val="en-US" w:eastAsia="zh-CN" w:bidi="ar-SA"/>
        </w:rPr>
        <w:t>七、</w:t>
      </w:r>
      <w:r>
        <w:rPr>
          <w:rFonts w:hint="eastAsia" w:ascii="黑体" w:hAnsi="黑体" w:eastAsia="黑体" w:cs="黑体"/>
          <w:szCs w:val="32"/>
        </w:rPr>
        <w:t>近期行动计划</w:t>
      </w:r>
    </w:p>
    <w:p>
      <w:pPr>
        <w:ind w:firstLine="640"/>
      </w:pPr>
      <w:r>
        <w:rPr>
          <w:rFonts w:hint="eastAsia"/>
        </w:rPr>
        <w:t>巴浪湖村近期内重点建设项目23个，涉及基础设施、公共服务设施、居民点建设、产业发展和国土综合整治与生态修复，建设总投资2739.3万元。</w:t>
      </w:r>
    </w:p>
    <w:p>
      <w:pPr>
        <w:ind w:firstLine="640"/>
      </w:pPr>
    </w:p>
    <w:p>
      <w:pPr>
        <w:ind w:firstLine="640"/>
        <w:rPr>
          <w:rFonts w:hint="eastAsia"/>
        </w:rPr>
      </w:pPr>
    </w:p>
    <w:p>
      <w:pPr>
        <w:ind w:firstLine="640"/>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680" w:footer="737" w:gutter="0"/>
          <w:cols w:space="425" w:num="1"/>
          <w:docGrid w:type="lines" w:linePitch="435" w:charSpace="0"/>
        </w:sectPr>
      </w:pPr>
    </w:p>
    <w:p>
      <w:pPr>
        <w:keepNext w:val="0"/>
        <w:keepLines w:val="0"/>
        <w:pageBreakBefore w:val="0"/>
        <w:widowControl w:val="0"/>
        <w:kinsoku/>
        <w:wordWrap/>
        <w:overflowPunct/>
        <w:topLinePunct w:val="0"/>
        <w:autoSpaceDE/>
        <w:autoSpaceDN/>
        <w:bidi w:val="0"/>
        <w:adjustRightInd/>
        <w:snapToGrid/>
        <w:spacing w:after="160"/>
        <w:ind w:firstLine="0" w:firstLineChars="0"/>
        <w:jc w:val="center"/>
        <w:textAlignment w:val="auto"/>
        <w:rPr>
          <w:b/>
          <w:bCs/>
        </w:rPr>
      </w:pPr>
      <w:r>
        <w:rPr>
          <w:rFonts w:hint="eastAsia"/>
          <w:b/>
          <w:bCs/>
        </w:rPr>
        <w:t>近期建设项目一览表</w:t>
      </w:r>
    </w:p>
    <w:tbl>
      <w:tblPr>
        <w:tblStyle w:val="8"/>
        <w:tblW w:w="14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1"/>
        <w:gridCol w:w="1059"/>
        <w:gridCol w:w="1190"/>
        <w:gridCol w:w="7152"/>
        <w:gridCol w:w="1058"/>
        <w:gridCol w:w="1456"/>
        <w:gridCol w:w="1323"/>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序号</w:t>
            </w:r>
          </w:p>
        </w:tc>
        <w:tc>
          <w:tcPr>
            <w:tcW w:w="1059"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类别</w:t>
            </w:r>
          </w:p>
        </w:tc>
        <w:tc>
          <w:tcPr>
            <w:tcW w:w="1190"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项目</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建设内容</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投资估算（万元）</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资金来源</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建设主体</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建设时序（年）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9"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1059" w:type="dxa"/>
            <w:vMerge w:val="restart"/>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基础设施</w:t>
            </w:r>
          </w:p>
        </w:tc>
        <w:tc>
          <w:tcPr>
            <w:tcW w:w="1190" w:type="dxa"/>
            <w:vMerge w:val="restart"/>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道路交通</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道路拓宽工程：对柴八路进行拓宽，将道路路面拓宽至7米，对该道路破损严重的路段进行维修，本次沟周路拓宽总长度为1650米，硬化面积2475平方米。</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45</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专项资金</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区住建交通局</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9"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vMerge w:val="continue"/>
            <w:vAlign w:val="center"/>
          </w:tcPr>
          <w:p>
            <w:pPr>
              <w:pStyle w:val="18"/>
              <w:spacing w:line="300" w:lineRule="exact"/>
              <w:rPr>
                <w:rFonts w:ascii="Times New Roman" w:hAnsi="Times New Roman" w:eastAsia="仿宋_GB2312" w:cs="Times New Roman"/>
                <w:sz w:val="24"/>
                <w:szCs w:val="24"/>
              </w:rPr>
            </w:pP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道路硬化工程：规划对村庄内未硬化支路和入户路进行道路硬化，本次规划硬化村庄支路长度664米，路面宽3-3.5米，硬化面积为2324平方米，硬化入户道路440米，硬化面积1320平方米。</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58.3</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专项资金</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区住建交通局</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2023-2025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vMerge w:val="continue"/>
            <w:vAlign w:val="center"/>
          </w:tcPr>
          <w:p>
            <w:pPr>
              <w:pStyle w:val="18"/>
              <w:spacing w:line="300" w:lineRule="exact"/>
              <w:rPr>
                <w:rFonts w:ascii="Times New Roman" w:hAnsi="Times New Roman" w:eastAsia="仿宋_GB2312" w:cs="Times New Roman"/>
                <w:sz w:val="24"/>
                <w:szCs w:val="24"/>
              </w:rPr>
            </w:pP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路灯安装工程：规划在巴浪湖村旅游节点内部道路和新建活动广场内布设太阳能路灯20盏。</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10</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地方配套资金</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区住建交通局</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2024-2025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4</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vMerge w:val="continue"/>
            <w:vAlign w:val="center"/>
          </w:tcPr>
          <w:p>
            <w:pPr>
              <w:pStyle w:val="18"/>
              <w:spacing w:line="300" w:lineRule="exact"/>
              <w:rPr>
                <w:rFonts w:ascii="Times New Roman" w:hAnsi="Times New Roman" w:eastAsia="仿宋_GB2312" w:cs="Times New Roman"/>
                <w:sz w:val="24"/>
                <w:szCs w:val="24"/>
              </w:rPr>
            </w:pP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规划在十四组新建1000平方米停车场一处，便于停车，推动乡村旅游业发展。</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16</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专项资金</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区文旅局</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2023-2025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5</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排水设施</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规划在巴浪湖村敷设污水管网约8580米，其中D400排水支管敷设长度5477米，D500排水干管敷设长度3103米。</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400</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专项资金</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区水务局</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2023-2025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电力通信线路</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对村庄凌乱混杂的线路重新梳理，老旧破损的线路进行修复。</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企业投资</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供电局、通信局</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2024-2025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7</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vMerge w:val="restart"/>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环卫设施</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规划在村庄乡村旅游区内布设双色分类垃圾桶23个。</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15</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政府财政项目补助资金</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区环境卫生管理中心</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2023-2025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6"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8</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vMerge w:val="continue"/>
            <w:vAlign w:val="center"/>
          </w:tcPr>
          <w:p>
            <w:pPr>
              <w:pStyle w:val="18"/>
              <w:spacing w:line="300" w:lineRule="exact"/>
              <w:rPr>
                <w:rFonts w:ascii="Times New Roman" w:hAnsi="Times New Roman" w:eastAsia="仿宋_GB2312" w:cs="Times New Roman"/>
                <w:sz w:val="24"/>
                <w:szCs w:val="24"/>
              </w:rPr>
            </w:pP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规划期内结合村庄产业设施及公共活动场地新建水冲式公共厕所3座，位于村庄公共活动广场内与人口密集的位置，每座建筑面积45平方米。</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120</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衔接资金</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区环境卫生管理中心</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2024-2025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9</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vMerge w:val="continue"/>
            <w:vAlign w:val="center"/>
          </w:tcPr>
          <w:p>
            <w:pPr>
              <w:pStyle w:val="18"/>
              <w:spacing w:line="300" w:lineRule="exact"/>
              <w:rPr>
                <w:rFonts w:ascii="Times New Roman" w:hAnsi="Times New Roman" w:eastAsia="仿宋_GB2312" w:cs="Times New Roman"/>
                <w:sz w:val="24"/>
                <w:szCs w:val="24"/>
              </w:rPr>
            </w:pP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规划对巴浪湖村未完成农户改厕的住户实施卫生厕所改造工程，涉及住户89户。</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300</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地方配套资金</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区环境卫生管理中心</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2023-2025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10</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vMerge w:val="continue"/>
            <w:vAlign w:val="center"/>
          </w:tcPr>
          <w:p>
            <w:pPr>
              <w:pStyle w:val="18"/>
              <w:spacing w:line="300" w:lineRule="exact"/>
              <w:rPr>
                <w:rFonts w:ascii="Times New Roman" w:hAnsi="Times New Roman" w:eastAsia="仿宋_GB2312" w:cs="Times New Roman"/>
                <w:sz w:val="24"/>
                <w:szCs w:val="24"/>
              </w:rPr>
            </w:pP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规划在巴浪湖村中部建设1座村级垃圾转运站，面积50平方米，配套完善相关附属设施。</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30</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衔接资金</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区环境卫生管理中心</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1059" w:type="dxa"/>
            <w:vMerge w:val="restart"/>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公共服务设施</w:t>
            </w:r>
          </w:p>
        </w:tc>
        <w:tc>
          <w:tcPr>
            <w:tcW w:w="1190"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卫生室搬迁</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卫生室搬迁至现状小学内，与村委会等共同形成村庄综合服务</w:t>
            </w:r>
            <w:bookmarkStart w:id="2" w:name="_GoBack"/>
            <w:bookmarkEnd w:id="2"/>
            <w:r>
              <w:rPr>
                <w:rFonts w:ascii="Times New Roman" w:hAnsi="Times New Roman" w:eastAsia="仿宋_GB2312" w:cs="Times New Roman"/>
                <w:sz w:val="24"/>
                <w:szCs w:val="24"/>
              </w:rPr>
              <w:t>中心。</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50</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专项资金</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乡政府</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3"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活动广场</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规划新建公共活动场地2处，总占地面积3567平方米。规划新建公共活动场地利用现状农宅之间的空地结合居民点进行建设，配建健身器材、休闲木亭和廊架等设计，布设篮球场和景观小品等，形成功能健全、环境优美的综合活动场地，满足周边村民的日常休闲活动需求，为乡村旅游做基础。</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108</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县政府整合资金</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乡政府</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1059" w:type="dxa"/>
            <w:vMerge w:val="restart"/>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居民点建设</w:t>
            </w:r>
          </w:p>
        </w:tc>
        <w:tc>
          <w:tcPr>
            <w:tcW w:w="1190"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拆除</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规划拆除村庄最南侧零散住户共计6户。</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地方政府配套及村民自筹</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乡政府</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2023-2025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新建</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规划对除后的住户进行插花安置安置，新建住宅6户。</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120</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地方政府配套及村民自筹</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乡政府</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2023-2025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1059" w:type="dxa"/>
            <w:vMerge w:val="restart"/>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国土综合整治和生态保护修复</w:t>
            </w:r>
          </w:p>
        </w:tc>
        <w:tc>
          <w:tcPr>
            <w:tcW w:w="1190"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高标准农田建设</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对村域范围内划定的所有永久基本农田进行高标准农田建设，对耕地进行土地平整，配建农业服务设施和灌溉设施，建设面积75公顷。</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400</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自治区财政支持+地方配套</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区自然资源局</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2023-2025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土地开发整理</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对低效林草地、农业设施建设用地进行有效整理，整合优化资源，整治形成耕地，整理面积1.01公顷。</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5</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地方配套</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农业农村局</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2023-2025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水体治理与修复</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沟渠清违清障、清淤疏浚、岸坡整治、堤防加固、水质提升等，本次沟渠整治修复面积8.81公顷</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专项资金</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区自然资源局</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2024-2025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1059" w:type="dxa"/>
            <w:vMerge w:val="restart"/>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产业发展规划</w:t>
            </w:r>
          </w:p>
        </w:tc>
        <w:tc>
          <w:tcPr>
            <w:tcW w:w="1190"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农业</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加快推动村庄高标准农田建设，加快推动节水农业建设，特色农业机械化、标准化种植，新建农具库房一座，建筑面积1364平方米。</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136</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一事一议项目资金</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农业农村局</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9"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设施农业</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在村庄内部一般农用地内部新建设施农业，发展果蔬种植，设施农业面积75亩，并配套建设分拣库房，用于果蔬分拣包装，实现产销一体化发展，分拣库房建筑面积1200平方米。</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150</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衔接资金</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乡政府+村集体</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9"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研学教育基地</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以村庄现状设施农业为基础，逐步在十四组南侧新建采摘大棚，建立村庄精品果类采摘园和生态观光园，建立亲子采摘体验区和青少年研学劳动教育基地</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50</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地方政府配套</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乡镇府</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4</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农家小院</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规划新建农家小院4座，新建农家乐2座。</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60</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整合资金</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区文旅局</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2023-2025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5</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步行美食街</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在柴八路北侧打造步行美食街一条，利用现状农宅进行改造。</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120</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衔接资金</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区文旅局</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661"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1059" w:type="dxa"/>
            <w:vMerge w:val="continue"/>
            <w:vAlign w:val="center"/>
          </w:tcPr>
          <w:p>
            <w:pPr>
              <w:pStyle w:val="18"/>
              <w:spacing w:line="300" w:lineRule="exact"/>
              <w:rPr>
                <w:rFonts w:ascii="Times New Roman" w:hAnsi="Times New Roman" w:eastAsia="仿宋_GB2312" w:cs="Times New Roman"/>
                <w:sz w:val="24"/>
                <w:szCs w:val="24"/>
              </w:rPr>
            </w:pPr>
          </w:p>
        </w:tc>
        <w:tc>
          <w:tcPr>
            <w:tcW w:w="1190"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食品加工中心</w:t>
            </w:r>
          </w:p>
        </w:tc>
        <w:tc>
          <w:tcPr>
            <w:tcW w:w="7152"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利用村庄南侧腾退的宅基地新建食品加工中心一座，占地面积6722平方米。</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500</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企业+村集体</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乡政府+村集体</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2023-2024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trPr>
        <w:tc>
          <w:tcPr>
            <w:tcW w:w="10062" w:type="dxa"/>
            <w:gridSpan w:val="4"/>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合计</w:t>
            </w:r>
          </w:p>
        </w:tc>
        <w:tc>
          <w:tcPr>
            <w:tcW w:w="1058"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2739.3</w:t>
            </w:r>
          </w:p>
        </w:tc>
        <w:tc>
          <w:tcPr>
            <w:tcW w:w="1456" w:type="dxa"/>
            <w:shd w:val="clear" w:color="auto" w:fill="auto"/>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　</w:t>
            </w:r>
          </w:p>
        </w:tc>
        <w:tc>
          <w:tcPr>
            <w:tcW w:w="1323"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　</w:t>
            </w:r>
          </w:p>
        </w:tc>
        <w:tc>
          <w:tcPr>
            <w:tcW w:w="1058" w:type="dxa"/>
            <w:shd w:val="clear" w:color="auto" w:fill="auto"/>
            <w:noWrap/>
            <w:vAlign w:val="center"/>
          </w:tcPr>
          <w:p>
            <w:pPr>
              <w:pStyle w:val="18"/>
              <w:spacing w:line="3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　</w:t>
            </w:r>
          </w:p>
        </w:tc>
      </w:tr>
    </w:tbl>
    <w:p>
      <w:pPr>
        <w:ind w:firstLine="0" w:firstLineChars="0"/>
        <w:jc w:val="center"/>
        <w:rPr>
          <w:rFonts w:hint="eastAsia"/>
        </w:rPr>
      </w:pPr>
    </w:p>
    <w:sectPr>
      <w:pgSz w:w="16838" w:h="11906" w:orient="landscape"/>
      <w:pgMar w:top="851" w:right="1134" w:bottom="851" w:left="1134" w:header="283" w:footer="283"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方正小标宋简体">
    <w:altName w:val="黑体"/>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B351B5"/>
    <w:multiLevelType w:val="multilevel"/>
    <w:tmpl w:val="5AB351B5"/>
    <w:lvl w:ilvl="0" w:tentative="0">
      <w:start w:val="1"/>
      <w:numFmt w:val="chineseCountingThousand"/>
      <w:pStyle w:val="2"/>
      <w:suff w:val="space"/>
      <w:lvlText w:val="第%1章"/>
      <w:lvlJc w:val="left"/>
      <w:pPr>
        <w:ind w:left="0" w:firstLine="0"/>
      </w:pPr>
      <w:rPr>
        <w:rFonts w:hint="eastAsia" w:eastAsia="宋体"/>
        <w:sz w:val="36"/>
        <w:lang w:val="en-US"/>
      </w:rPr>
    </w:lvl>
    <w:lvl w:ilvl="1" w:tentative="0">
      <w:start w:val="1"/>
      <w:numFmt w:val="decimal"/>
      <w:pStyle w:val="3"/>
      <w:isLgl/>
      <w:suff w:val="space"/>
      <w:lvlText w:val="%1.%2"/>
      <w:lvlJc w:val="left"/>
      <w:pPr>
        <w:ind w:left="0" w:firstLine="0"/>
      </w:pPr>
      <w:rPr>
        <w:rFonts w:hint="eastAsia"/>
        <w:i w:val="0"/>
        <w:iCs w:val="0"/>
        <w:caps w:val="0"/>
        <w:smallCaps w:val="0"/>
        <w:strike w:val="0"/>
        <w:dstrike w:val="0"/>
        <w:vanish w:val="0"/>
        <w:color w:val="00000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pStyle w:val="4"/>
      <w:isLgl/>
      <w:lvlText w:val="%1.%2.%3"/>
      <w:lvlJc w:val="left"/>
      <w:pPr>
        <w:ind w:left="0" w:firstLine="624"/>
      </w:pPr>
      <w:rPr>
        <w:rFonts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5"/>
      <w:suff w:val="nothing"/>
      <w:lvlText w:val="%4、"/>
      <w:lvlJc w:val="left"/>
      <w:pPr>
        <w:ind w:left="0" w:firstLine="68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NmMDE0NmQzNGRjMzYyYjBmN2ZlNzI4YTNhZTk0YmUifQ=="/>
  </w:docVars>
  <w:rsids>
    <w:rsidRoot w:val="00783EC8"/>
    <w:rsid w:val="00002D31"/>
    <w:rsid w:val="00057489"/>
    <w:rsid w:val="00066465"/>
    <w:rsid w:val="000A351B"/>
    <w:rsid w:val="000C66E6"/>
    <w:rsid w:val="000C6DA2"/>
    <w:rsid w:val="00106024"/>
    <w:rsid w:val="001D50E6"/>
    <w:rsid w:val="00210A61"/>
    <w:rsid w:val="002460D2"/>
    <w:rsid w:val="002E2E09"/>
    <w:rsid w:val="0031258B"/>
    <w:rsid w:val="003C5941"/>
    <w:rsid w:val="003C7C80"/>
    <w:rsid w:val="00423D33"/>
    <w:rsid w:val="004345E4"/>
    <w:rsid w:val="00470119"/>
    <w:rsid w:val="0052396E"/>
    <w:rsid w:val="00540701"/>
    <w:rsid w:val="00597D6D"/>
    <w:rsid w:val="005B3155"/>
    <w:rsid w:val="00604F52"/>
    <w:rsid w:val="006666DA"/>
    <w:rsid w:val="007347AB"/>
    <w:rsid w:val="00745A04"/>
    <w:rsid w:val="00783EC8"/>
    <w:rsid w:val="007964D6"/>
    <w:rsid w:val="007B5137"/>
    <w:rsid w:val="007C1B15"/>
    <w:rsid w:val="00810E62"/>
    <w:rsid w:val="008642D3"/>
    <w:rsid w:val="00883023"/>
    <w:rsid w:val="008A4A34"/>
    <w:rsid w:val="008C44B3"/>
    <w:rsid w:val="009153D8"/>
    <w:rsid w:val="00970195"/>
    <w:rsid w:val="00993981"/>
    <w:rsid w:val="009D4FBF"/>
    <w:rsid w:val="009E5E9C"/>
    <w:rsid w:val="009F38BE"/>
    <w:rsid w:val="009F7AC8"/>
    <w:rsid w:val="00A56433"/>
    <w:rsid w:val="00A634AA"/>
    <w:rsid w:val="00A96526"/>
    <w:rsid w:val="00B02986"/>
    <w:rsid w:val="00B23710"/>
    <w:rsid w:val="00B74BDC"/>
    <w:rsid w:val="00BB5F3E"/>
    <w:rsid w:val="00C17FD0"/>
    <w:rsid w:val="00C844C9"/>
    <w:rsid w:val="00CA0AEF"/>
    <w:rsid w:val="00CD76FB"/>
    <w:rsid w:val="00D448CC"/>
    <w:rsid w:val="00DA2E84"/>
    <w:rsid w:val="00DC66BE"/>
    <w:rsid w:val="00DE15CF"/>
    <w:rsid w:val="00DE331E"/>
    <w:rsid w:val="00E46F6A"/>
    <w:rsid w:val="00E836C9"/>
    <w:rsid w:val="00EC1046"/>
    <w:rsid w:val="00ED369B"/>
    <w:rsid w:val="00F14D96"/>
    <w:rsid w:val="00F348F2"/>
    <w:rsid w:val="00F6599D"/>
    <w:rsid w:val="00FC42F8"/>
    <w:rsid w:val="00FC75BF"/>
    <w:rsid w:val="00FE1433"/>
    <w:rsid w:val="3B9A3286"/>
    <w:rsid w:val="5FB25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12"/>
    <w:qFormat/>
    <w:uiPriority w:val="9"/>
    <w:pPr>
      <w:keepNext/>
      <w:keepLines/>
      <w:numPr>
        <w:ilvl w:val="0"/>
        <w:numId w:val="1"/>
      </w:numPr>
      <w:spacing w:before="240" w:after="240" w:line="360" w:lineRule="auto"/>
      <w:jc w:val="center"/>
      <w:outlineLvl w:val="0"/>
    </w:pPr>
    <w:rPr>
      <w:rFonts w:cs="Times New Roman"/>
      <w:b/>
      <w:bCs/>
      <w:kern w:val="44"/>
      <w:sz w:val="36"/>
      <w:szCs w:val="44"/>
    </w:rPr>
  </w:style>
  <w:style w:type="paragraph" w:styleId="3">
    <w:name w:val="heading 2"/>
    <w:basedOn w:val="1"/>
    <w:next w:val="1"/>
    <w:link w:val="13"/>
    <w:unhideWhenUsed/>
    <w:qFormat/>
    <w:uiPriority w:val="9"/>
    <w:pPr>
      <w:keepNext/>
      <w:keepLines/>
      <w:numPr>
        <w:ilvl w:val="1"/>
        <w:numId w:val="1"/>
      </w:numPr>
      <w:spacing w:before="240" w:line="360" w:lineRule="auto"/>
      <w:outlineLvl w:val="1"/>
    </w:pPr>
    <w:rPr>
      <w:rFonts w:asciiTheme="majorHAnsi" w:hAnsiTheme="majorHAnsi" w:eastAsiaTheme="majorEastAsia" w:cstheme="majorBidi"/>
      <w:b/>
      <w:bCs/>
      <w:szCs w:val="32"/>
    </w:rPr>
  </w:style>
  <w:style w:type="paragraph" w:styleId="4">
    <w:name w:val="heading 3"/>
    <w:basedOn w:val="1"/>
    <w:next w:val="1"/>
    <w:link w:val="14"/>
    <w:unhideWhenUsed/>
    <w:qFormat/>
    <w:uiPriority w:val="9"/>
    <w:pPr>
      <w:keepNext/>
      <w:keepLines/>
      <w:numPr>
        <w:ilvl w:val="2"/>
        <w:numId w:val="1"/>
      </w:numPr>
      <w:spacing w:line="360" w:lineRule="auto"/>
      <w:ind w:firstLine="0"/>
      <w:outlineLvl w:val="2"/>
    </w:pPr>
    <w:rPr>
      <w:rFonts w:cs="Times New Roman"/>
      <w:b/>
      <w:bCs/>
      <w:sz w:val="28"/>
      <w:szCs w:val="32"/>
    </w:rPr>
  </w:style>
  <w:style w:type="paragraph" w:styleId="5">
    <w:name w:val="heading 4"/>
    <w:basedOn w:val="1"/>
    <w:next w:val="1"/>
    <w:link w:val="15"/>
    <w:unhideWhenUsed/>
    <w:qFormat/>
    <w:uiPriority w:val="9"/>
    <w:pPr>
      <w:keepNext/>
      <w:keepLines/>
      <w:numPr>
        <w:ilvl w:val="3"/>
        <w:numId w:val="1"/>
      </w:numPr>
      <w:spacing w:line="384" w:lineRule="auto"/>
      <w:ind w:firstLine="0"/>
      <w:outlineLvl w:val="3"/>
    </w:pPr>
    <w:rPr>
      <w:rFonts w:asciiTheme="majorHAnsi" w:hAnsiTheme="majorHAnsi" w:eastAsiaTheme="majorEastAsia" w:cstheme="majorBidi"/>
      <w:b/>
      <w:bCs/>
      <w:sz w:val="24"/>
      <w:szCs w:val="2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22"/>
    <w:unhideWhenUsed/>
    <w:qFormat/>
    <w:uiPriority w:val="99"/>
    <w:pPr>
      <w:tabs>
        <w:tab w:val="center" w:pos="4153"/>
        <w:tab w:val="right" w:pos="8306"/>
      </w:tabs>
      <w:snapToGrid w:val="0"/>
      <w:jc w:val="left"/>
    </w:pPr>
    <w:rPr>
      <w:sz w:val="18"/>
      <w:szCs w:val="18"/>
    </w:rPr>
  </w:style>
  <w:style w:type="paragraph" w:styleId="7">
    <w:name w:val="header"/>
    <w:basedOn w:val="1"/>
    <w:link w:val="21"/>
    <w:unhideWhenUsed/>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
    <w:name w:val="List Paragraph"/>
    <w:basedOn w:val="1"/>
    <w:qFormat/>
    <w:uiPriority w:val="34"/>
    <w:pPr>
      <w:ind w:firstLine="420"/>
    </w:pPr>
  </w:style>
  <w:style w:type="character" w:customStyle="1" w:styleId="12">
    <w:name w:val="标题 1 Char"/>
    <w:basedOn w:val="10"/>
    <w:link w:val="2"/>
    <w:qFormat/>
    <w:uiPriority w:val="9"/>
    <w:rPr>
      <w:rFonts w:ascii="Times New Roman" w:hAnsi="Times New Roman" w:cs="Times New Roman"/>
      <w:b/>
      <w:bCs/>
      <w:kern w:val="44"/>
      <w:sz w:val="36"/>
      <w:szCs w:val="44"/>
    </w:rPr>
  </w:style>
  <w:style w:type="character" w:customStyle="1" w:styleId="13">
    <w:name w:val="标题 2 Char"/>
    <w:basedOn w:val="10"/>
    <w:link w:val="3"/>
    <w:qFormat/>
    <w:uiPriority w:val="9"/>
    <w:rPr>
      <w:rFonts w:asciiTheme="majorHAnsi" w:hAnsiTheme="majorHAnsi" w:eastAsiaTheme="majorEastAsia" w:cstheme="majorBidi"/>
      <w:b/>
      <w:bCs/>
      <w:sz w:val="32"/>
      <w:szCs w:val="32"/>
    </w:rPr>
  </w:style>
  <w:style w:type="character" w:customStyle="1" w:styleId="14">
    <w:name w:val="标题 3 Char"/>
    <w:basedOn w:val="10"/>
    <w:link w:val="4"/>
    <w:qFormat/>
    <w:uiPriority w:val="9"/>
    <w:rPr>
      <w:rFonts w:ascii="Times New Roman" w:hAnsi="Times New Roman" w:cs="Times New Roman"/>
      <w:b/>
      <w:bCs/>
      <w:sz w:val="28"/>
      <w:szCs w:val="32"/>
    </w:rPr>
  </w:style>
  <w:style w:type="character" w:customStyle="1" w:styleId="15">
    <w:name w:val="标题 4 Char"/>
    <w:basedOn w:val="10"/>
    <w:link w:val="5"/>
    <w:uiPriority w:val="9"/>
    <w:rPr>
      <w:rFonts w:asciiTheme="majorHAnsi" w:hAnsiTheme="majorHAnsi" w:eastAsiaTheme="majorEastAsia" w:cstheme="majorBidi"/>
      <w:b/>
      <w:bCs/>
      <w:sz w:val="24"/>
      <w:szCs w:val="28"/>
    </w:rPr>
  </w:style>
  <w:style w:type="paragraph" w:customStyle="1" w:styleId="16">
    <w:name w:val="图表名"/>
    <w:basedOn w:val="1"/>
    <w:link w:val="17"/>
    <w:qFormat/>
    <w:uiPriority w:val="0"/>
    <w:pPr>
      <w:jc w:val="center"/>
    </w:pPr>
    <w:rPr>
      <w:rFonts w:cs="Times New Roman"/>
      <w:b/>
      <w:szCs w:val="21"/>
    </w:rPr>
  </w:style>
  <w:style w:type="character" w:customStyle="1" w:styleId="17">
    <w:name w:val="图表名 Char"/>
    <w:basedOn w:val="10"/>
    <w:link w:val="16"/>
    <w:qFormat/>
    <w:uiPriority w:val="0"/>
    <w:rPr>
      <w:rFonts w:ascii="Times New Roman" w:hAnsi="Times New Roman" w:cs="Times New Roman"/>
      <w:b/>
      <w:szCs w:val="21"/>
    </w:rPr>
  </w:style>
  <w:style w:type="paragraph" w:customStyle="1" w:styleId="18">
    <w:name w:val="表格"/>
    <w:basedOn w:val="19"/>
    <w:link w:val="20"/>
    <w:qFormat/>
    <w:uiPriority w:val="0"/>
    <w:pPr>
      <w:jc w:val="center"/>
    </w:pPr>
    <w:rPr>
      <w:szCs w:val="21"/>
    </w:rPr>
  </w:style>
  <w:style w:type="paragraph" w:styleId="1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0">
    <w:name w:val="表格 Char"/>
    <w:basedOn w:val="10"/>
    <w:link w:val="18"/>
    <w:qFormat/>
    <w:uiPriority w:val="0"/>
    <w:rPr>
      <w:szCs w:val="21"/>
    </w:rPr>
  </w:style>
  <w:style w:type="character" w:customStyle="1" w:styleId="21">
    <w:name w:val="页眉 Char"/>
    <w:basedOn w:val="10"/>
    <w:link w:val="7"/>
    <w:qFormat/>
    <w:uiPriority w:val="99"/>
    <w:rPr>
      <w:sz w:val="18"/>
      <w:szCs w:val="18"/>
    </w:rPr>
  </w:style>
  <w:style w:type="character" w:customStyle="1" w:styleId="22">
    <w:name w:val="页脚 Char"/>
    <w:basedOn w:val="10"/>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08CDC-BFD3-4291-AE39-F0A1DDCCB265}">
  <ds:schemaRefs/>
</ds:datastoreItem>
</file>

<file path=docProps/app.xml><?xml version="1.0" encoding="utf-8"?>
<Properties xmlns="http://schemas.openxmlformats.org/officeDocument/2006/extended-properties" xmlns:vt="http://schemas.openxmlformats.org/officeDocument/2006/docPropsVTypes">
  <Template>Normal.dotm</Template>
  <Pages>8</Pages>
  <Words>716</Words>
  <Characters>4085</Characters>
  <Lines>34</Lines>
  <Paragraphs>9</Paragraphs>
  <TotalTime>7</TotalTime>
  <ScaleCrop>false</ScaleCrop>
  <LinksUpToDate>false</LinksUpToDate>
  <CharactersWithSpaces>4792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2023-09-17T10:24:00Z</dcterms:created>
  <dc:creator>LYL</dc:creator>
  <cp:lastModifiedBy>Administrator</cp:lastModifiedBy>
  <cp:lastPrinted>2023-11-24T09:00:48Z</cp:lastPrinted>
  <dcterms:modified xsi:type="dcterms:W3CDTF">2023-11-24T09:00:51Z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6203FDAC2B09479ABAFE45E012E077C9_12</vt:lpwstr>
  </property>
</Properties>
</file>