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吴忠市利通区马莲渠乡杨渠村村庄规划（</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eastAsia="zh-CN"/>
        </w:rPr>
        <w:t>-2035</w:t>
      </w:r>
      <w:r>
        <w:rPr>
          <w:rFonts w:hint="eastAsia" w:ascii="方正小标宋_GBK" w:hAnsi="方正小标宋_GBK" w:eastAsia="方正小标宋_GBK" w:cs="方正小标宋_GBK"/>
          <w:sz w:val="44"/>
          <w:szCs w:val="44"/>
          <w:lang w:eastAsia="zh-CN"/>
        </w:rPr>
        <w:t>年）</w:t>
      </w: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0"/>
          <w:szCs w:val="30"/>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一、村民诉求及意愿总结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根据问卷调查分析，杨渠村居民诉求主要分为三个方面：</w:t>
      </w:r>
    </w:p>
    <w:p>
      <w:pPr>
        <w:pStyle w:val="4"/>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1、居民点建设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拆除村庄危房，清理村庄垃圾，改善村庄风貌。</w:t>
      </w:r>
    </w:p>
    <w:p>
      <w:pPr>
        <w:pStyle w:val="4"/>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2、完善基础设施及公共服务设施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修缮破损道路，打通“断头路”，整治田间道，清理道路两侧杂草，美化道路景观；建设污水处理设施，改造水冲式厕所，提升村民生活质量；增加垃圾桶数量，改善村庄环境卫生问题；增设养老设施，解决养老问题。</w:t>
      </w:r>
    </w:p>
    <w:p>
      <w:pPr>
        <w:pStyle w:val="4"/>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3、产业设施建设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优化种植业发展模式，推动养殖业发展，调整产业结构，促进一二三产融合发展。</w:t>
      </w:r>
    </w:p>
    <w:p>
      <w:pPr>
        <w:pStyle w:val="7"/>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杨渠村村民意愿汇总表</w:t>
      </w:r>
    </w:p>
    <w:tbl>
      <w:tblPr>
        <w:tblStyle w:val="5"/>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717"/>
        <w:gridCol w:w="444"/>
        <w:gridCol w:w="4876"/>
        <w:gridCol w:w="862"/>
        <w:gridCol w:w="679"/>
        <w:gridCol w:w="75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blHeader/>
        </w:trPr>
        <w:tc>
          <w:tcPr>
            <w:tcW w:w="434"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bookmarkStart w:id="0" w:name="_Toc26361"/>
            <w:r>
              <w:rPr>
                <w:rFonts w:hint="default" w:ascii="Times New Roman" w:hAnsi="Times New Roman" w:cs="Times New Roman"/>
                <w:b/>
                <w:bCs/>
                <w:color w:val="auto"/>
                <w:sz w:val="24"/>
                <w:szCs w:val="24"/>
                <w:highlight w:val="none"/>
                <w:lang w:val="en-US" w:eastAsia="zh-CN"/>
              </w:rPr>
              <w:t>村庄名称</w:t>
            </w: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序号</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村民意愿</w:t>
            </w:r>
          </w:p>
        </w:tc>
        <w:tc>
          <w:tcPr>
            <w:tcW w:w="52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有效调查问卷份数</w:t>
            </w: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村民意愿份数</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restar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杨渠村</w:t>
            </w: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拆除村庄危房，清理村庄垃圾，改善村庄风貌，优化居住环境。</w:t>
            </w:r>
          </w:p>
        </w:tc>
        <w:tc>
          <w:tcPr>
            <w:tcW w:w="521" w:type="pct"/>
            <w:vMerge w:val="restar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200</w:t>
            </w: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200</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维修道路，清理路边杂物，美化道路景观。</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192</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96.00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建设污水处理设施，改造水冲式厕所，提升村民生活质量。</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200</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增加公共活动场所，丰富村民业余生活。</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200</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增加老年活动设施，解决村庄养老问题。</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144</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72.00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增加垃圾桶数量，解决村庄生活垃圾问题，增加公厕，提高村民方便程度。</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176</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88.00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34"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270"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7</w:t>
            </w:r>
          </w:p>
        </w:tc>
        <w:tc>
          <w:tcPr>
            <w:tcW w:w="2929"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调整产业结构，提高村民经济收入。</w:t>
            </w:r>
          </w:p>
        </w:tc>
        <w:tc>
          <w:tcPr>
            <w:tcW w:w="521" w:type="pct"/>
            <w:vMerge w:val="continue"/>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p>
        </w:tc>
        <w:tc>
          <w:tcPr>
            <w:tcW w:w="411"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lang w:val="en-US"/>
              </w:rPr>
            </w:pPr>
            <w:r>
              <w:rPr>
                <w:rFonts w:hint="eastAsia" w:cs="Times New Roman"/>
                <w:b w:val="0"/>
                <w:bCs w:val="0"/>
                <w:color w:val="auto"/>
                <w:sz w:val="24"/>
                <w:szCs w:val="24"/>
                <w:highlight w:val="none"/>
                <w:lang w:val="en-US" w:eastAsia="zh-CN"/>
              </w:rPr>
              <w:t>200</w:t>
            </w:r>
          </w:p>
        </w:tc>
        <w:tc>
          <w:tcPr>
            <w:tcW w:w="433" w:type="pct"/>
            <w:tcBorders>
              <w:tl2br w:val="nil"/>
              <w:tr2bl w:val="nil"/>
            </w:tcBorders>
            <w:shd w:val="clear" w:color="auto" w:fill="auto"/>
            <w:tcMar>
              <w:top w:w="15" w:type="dxa"/>
              <w:left w:w="15" w:type="dxa"/>
              <w:right w:w="15" w:type="dxa"/>
            </w:tcMar>
            <w:vAlign w:val="center"/>
          </w:tcPr>
          <w:p>
            <w:pPr>
              <w:pStyle w:val="8"/>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100.00</w:t>
            </w:r>
          </w:p>
        </w:tc>
      </w:tr>
      <w:bookmarkEnd w:id="0"/>
    </w:tbl>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bookmarkStart w:id="1" w:name="_Toc3349"/>
      <w:bookmarkStart w:id="2" w:name="_Toc31996"/>
      <w:bookmarkStart w:id="3" w:name="_Toc9275"/>
      <w:bookmarkStart w:id="4" w:name="_Toc22678"/>
      <w:r>
        <w:rPr>
          <w:rFonts w:hint="eastAsia" w:ascii="黑体" w:hAnsi="黑体" w:eastAsia="黑体" w:cs="黑体"/>
          <w:b w:val="0"/>
          <w:bCs w:val="0"/>
          <w:sz w:val="32"/>
          <w:szCs w:val="32"/>
          <w:highlight w:val="none"/>
          <w:lang w:val="en-US" w:eastAsia="zh-CN"/>
        </w:rPr>
        <w:t>二、村庄分类</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中央农办、农业农村部、自然资源部、国家发展改革委、财政部《关于统筹推进村庄规划工作的意见》有关内容，结合宁夏地方实际，确定集聚提升、城郊融合、特色保护、搬迁撤并、聚集提升5种村庄类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村庄分类指南》和《利通区村庄分类成果统计表》，结合村庄实际发展需求对村庄分类进行调整。根据自治区自然资源厅关于印发《宁夏回族自治区搬迁撤并类村庄认定标准（试行）》的通知（宁自然资发〔2021〕188号）中第一条标准：指现状公共服务、基础设施、资源禀赋与建设用地等综合条件较好，现有规模较大的中心村。通过村民代表大会和入户走访，充分征集村民意见，依据杨渠村现实条件，按照《村庄分类技术指南》将杨渠村纳入聚集提升类村庄。</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bookmarkStart w:id="5" w:name="_Toc24932"/>
      <w:bookmarkStart w:id="6" w:name="_Toc28403"/>
      <w:bookmarkStart w:id="7" w:name="_Toc28927"/>
      <w:bookmarkStart w:id="8" w:name="_Toc30658"/>
      <w:r>
        <w:rPr>
          <w:rFonts w:hint="eastAsia" w:ascii="黑体" w:hAnsi="黑体" w:eastAsia="黑体" w:cs="黑体"/>
          <w:b w:val="0"/>
          <w:bCs w:val="0"/>
          <w:sz w:val="32"/>
          <w:szCs w:val="32"/>
          <w:highlight w:val="none"/>
          <w:lang w:val="en-US" w:eastAsia="zh-CN"/>
        </w:rPr>
        <w:t>三、发展定位</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立足杨渠村现状自然资源环境优势和村庄发展基础，以村庄实际为出发点，秉承可持续发展原则，依托丰富的耕地资源，以玉米、</w:t>
      </w:r>
      <w:r>
        <w:rPr>
          <w:rFonts w:hint="eastAsia" w:ascii="仿宋_GB2312" w:hAnsi="仿宋_GB2312" w:eastAsia="仿宋_GB2312" w:cs="仿宋_GB2312"/>
          <w:sz w:val="32"/>
          <w:szCs w:val="32"/>
          <w:lang w:val="en-US" w:eastAsia="zh-CN"/>
        </w:rPr>
        <w:t>大</w:t>
      </w:r>
      <w:r>
        <w:rPr>
          <w:rFonts w:hint="default" w:ascii="仿宋_GB2312" w:hAnsi="仿宋_GB2312" w:eastAsia="仿宋_GB2312" w:cs="仿宋_GB2312"/>
          <w:sz w:val="32"/>
          <w:szCs w:val="32"/>
          <w:lang w:val="en-US" w:eastAsia="zh-CN"/>
        </w:rPr>
        <w:t>豆种植为基础，发展壮大第一产业；依托第一产业种植基础，辅以发展农产品精深加工；</w:t>
      </w:r>
      <w:r>
        <w:rPr>
          <w:rFonts w:hint="default" w:ascii="仿宋_GB2312" w:hAnsi="仿宋_GB2312" w:eastAsia="仿宋_GB2312" w:cs="仿宋_GB2312"/>
          <w:b/>
          <w:bCs/>
          <w:sz w:val="32"/>
          <w:szCs w:val="32"/>
          <w:lang w:val="en-US" w:eastAsia="zh-CN"/>
        </w:rPr>
        <w:t>将杨渠村建设成为“宜居型、经济型、旅游型绿色村庄”，打造“宜居、宜业、宜游”的利通区乡村振兴示范村。</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四、建设用地规模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规划严格执行“一户一宅”政策，新建住宅的宅基地面积应符合《宁夏回族自治区土地管理条例》、《宁夏回族自治区实施&lt;中华人民共和国土地管理法&gt;办法》中的标准规定：新建住宅的宅基地面积按照川区每户不大于四分地（270平方米）控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着非常住人口、两栖人口向城镇转移，鼓励村民有偿退出宅基地，规划期内闲置宅基地、零散分布的农宅搬迁腾退，新建宅基地按照四分地（270平方米）标准规划。通过优化整合村庄宅基地满足村民居住需求，杨渠村现状宅基地面积41.8972公顷，至规划期末，杨渠村农村宅基地面积41.6223公顷，较规划基期年减少0.2749公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经过土地优化整合，使杨渠村建设用地相对集中，至规划期末，村庄建设用地总规模为53.7296公顷，较规划基期年减少0.0443公顷。</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highlight w:val="none"/>
          <w:lang w:val="en-US" w:eastAsia="zh-CN"/>
        </w:rPr>
        <w:t>国土空间布局</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（一）</w:t>
      </w:r>
      <w:r>
        <w:rPr>
          <w:rFonts w:hint="eastAsia" w:ascii="楷体" w:hAnsi="楷体" w:eastAsia="楷体" w:cs="楷体"/>
          <w:b/>
          <w:bCs/>
          <w:sz w:val="32"/>
          <w:szCs w:val="32"/>
          <w:lang w:val="en-US" w:eastAsia="zh-CN"/>
        </w:rPr>
        <w:t>耕地保护目标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规划严格落实上位规划确定的“三区三线”划定成果，杨渠村耕地保护目标为265.9720</w:t>
      </w:r>
      <w:r>
        <w:rPr>
          <w:rFonts w:hint="eastAsia" w:ascii="仿宋_GB2312" w:hAnsi="仿宋_GB2312" w:eastAsia="仿宋_GB2312" w:cs="仿宋_GB2312"/>
          <w:sz w:val="32"/>
          <w:szCs w:val="32"/>
          <w:lang w:val="en-US" w:eastAsia="zh-CN"/>
        </w:rPr>
        <w:t>公顷</w:t>
      </w:r>
      <w:r>
        <w:rPr>
          <w:rFonts w:hint="default" w:ascii="仿宋_GB2312" w:hAnsi="仿宋_GB2312" w:eastAsia="仿宋_GB2312" w:cs="仿宋_GB2312"/>
          <w:sz w:val="32"/>
          <w:szCs w:val="32"/>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（二）永久基本农田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永久基本农田是指按照一定时期人口和社会经济发展对农产品的需求，依法确定的不得占用、不得开发、需要永久性保护的耕地空间边界。按照永久基本农田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数量不减少、质量不降低、布局总体稳定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的原则，本次村庄规划未对永久基本农田进行调整，未占用永久基本农田。规划严格落实上位规划划定的永久基本农田划定成果，</w:t>
      </w:r>
      <w:r>
        <w:rPr>
          <w:rFonts w:hint="eastAsia" w:ascii="仿宋_GB2312" w:hAnsi="仿宋_GB2312" w:eastAsia="仿宋_GB2312" w:cs="仿宋_GB2312"/>
          <w:sz w:val="32"/>
          <w:szCs w:val="32"/>
          <w:lang w:val="en-US" w:eastAsia="zh-CN"/>
        </w:rPr>
        <w:t>杨渠村</w:t>
      </w:r>
      <w:r>
        <w:rPr>
          <w:rFonts w:hint="default" w:ascii="仿宋_GB2312" w:hAnsi="仿宋_GB2312" w:eastAsia="仿宋_GB2312" w:cs="仿宋_GB2312"/>
          <w:sz w:val="32"/>
          <w:szCs w:val="32"/>
          <w:lang w:val="en-US" w:eastAsia="zh-CN"/>
        </w:rPr>
        <w:t>永久基本农田保护面积</w:t>
      </w:r>
      <w:r>
        <w:rPr>
          <w:rFonts w:hint="eastAsia" w:ascii="仿宋_GB2312" w:hAnsi="仿宋_GB2312" w:eastAsia="仿宋_GB2312" w:cs="仿宋_GB2312"/>
          <w:sz w:val="32"/>
          <w:szCs w:val="32"/>
          <w:lang w:val="en-US" w:eastAsia="zh-CN"/>
        </w:rPr>
        <w:t>206.1001公顷</w:t>
      </w:r>
      <w:r>
        <w:rPr>
          <w:rFonts w:hint="default" w:ascii="仿宋_GB2312" w:hAnsi="仿宋_GB2312" w:eastAsia="仿宋_GB2312" w:cs="仿宋_GB2312"/>
          <w:sz w:val="32"/>
          <w:szCs w:val="32"/>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（三）生态保护红线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规划严格落实上位规划划定生态保护红线成果。根据利通区生态保护红线划定成果，杨渠村不涉及生态保护红线。</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（四）河湖管理范围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落实利通区河湖水域岸线划界确权成果，杨渠村划定河湖岸线管理范围</w:t>
      </w:r>
      <w:r>
        <w:rPr>
          <w:rFonts w:hint="eastAsia" w:ascii="仿宋_GB2312" w:hAnsi="仿宋_GB2312" w:eastAsia="仿宋_GB2312" w:cs="仿宋_GB2312"/>
          <w:sz w:val="32"/>
          <w:szCs w:val="32"/>
          <w:lang w:val="en-US" w:eastAsia="zh-CN"/>
        </w:rPr>
        <w:t>6.0191</w:t>
      </w:r>
      <w:r>
        <w:rPr>
          <w:rFonts w:hint="eastAsia" w:ascii="仿宋_GB2312" w:hAnsi="仿宋_GB2312" w:eastAsia="仿宋_GB2312" w:cs="仿宋_GB2312"/>
          <w:sz w:val="32"/>
          <w:szCs w:val="32"/>
          <w:lang w:val="zh-CN" w:eastAsia="zh-CN"/>
        </w:rPr>
        <w:t>公顷。河湖管理范围指为维护河湖生态健康、行洪畅通、河势稳定而划定的河湖管理区域。</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w:t>
      </w:r>
      <w:r>
        <w:rPr>
          <w:rFonts w:hint="default" w:ascii="楷体" w:hAnsi="楷体" w:eastAsia="楷体" w:cs="楷体"/>
          <w:b/>
          <w:bCs/>
          <w:kern w:val="2"/>
          <w:sz w:val="32"/>
          <w:szCs w:val="32"/>
          <w:lang w:val="en-US" w:eastAsia="zh-CN" w:bidi="ar-SA"/>
        </w:rPr>
        <w:t>村庄建设边界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按照自然生态不破坏、耕地保有量不减少质量不降低、建设用地规模不增加的原则，在村域范围内通过优化调整村庄空间布局，统筹安排村庄建设用地，规划划定杨渠村村庄建设边界54.5513公顷。</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（六）留白用地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为村庄发展预留空间，本次规划预留</w:t>
      </w:r>
      <w:r>
        <w:rPr>
          <w:rFonts w:hint="eastAsia" w:ascii="仿宋_GB2312" w:hAnsi="仿宋_GB2312" w:eastAsia="仿宋_GB2312" w:cs="仿宋_GB2312"/>
          <w:sz w:val="32"/>
          <w:szCs w:val="32"/>
          <w:lang w:val="en-US" w:eastAsia="zh-CN"/>
        </w:rPr>
        <w:t>0.8217公顷留白用地</w:t>
      </w:r>
      <w:r>
        <w:rPr>
          <w:rFonts w:hint="eastAsia" w:ascii="仿宋_GB2312" w:hAnsi="仿宋_GB2312" w:eastAsia="仿宋_GB2312" w:cs="仿宋_GB2312"/>
          <w:sz w:val="32"/>
          <w:szCs w:val="32"/>
          <w:lang w:val="zh-CN" w:eastAsia="zh-CN"/>
        </w:rPr>
        <w:t>。</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val="0"/>
          <w:sz w:val="32"/>
          <w:szCs w:val="32"/>
          <w:highlight w:val="none"/>
          <w:lang w:val="en-US" w:eastAsia="zh-CN"/>
        </w:rPr>
      </w:pPr>
      <w:bookmarkStart w:id="9" w:name="_Toc23064"/>
      <w:r>
        <w:rPr>
          <w:rFonts w:hint="eastAsia" w:ascii="黑体" w:hAnsi="黑体" w:eastAsia="黑体" w:cs="黑体"/>
          <w:b w:val="0"/>
          <w:bCs w:val="0"/>
          <w:kern w:val="2"/>
          <w:sz w:val="32"/>
          <w:szCs w:val="32"/>
          <w:lang w:val="en-US" w:eastAsia="zh-CN" w:bidi="ar-SA"/>
        </w:rPr>
        <w:t>六、</w:t>
      </w:r>
      <w:r>
        <w:rPr>
          <w:rFonts w:hint="eastAsia" w:ascii="黑体" w:hAnsi="黑体" w:eastAsia="黑体" w:cs="黑体"/>
          <w:b w:val="0"/>
          <w:bCs w:val="0"/>
          <w:sz w:val="32"/>
          <w:szCs w:val="32"/>
          <w:highlight w:val="none"/>
          <w:lang w:val="en-US" w:eastAsia="zh-CN"/>
        </w:rPr>
        <w:t>国土空间格局</w:t>
      </w:r>
      <w:bookmarkEnd w:id="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统筹杨渠村自然资源和未来发展方向，以现代农业发展为基础，以产业融合发展为重点，以生态环境保护为保障，规划形成“一心一轴四区”的功能结构，促进村庄可持续发展。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一心：以村委会为核心，以区位优势和交通优势为基础，规划新建集商超、餐饮、农村电商和农贸市场于一体的，统筹村庄发展的综合服务中心；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一轴：以柴杨路为主，为东西贯穿村庄，连接村庄内部各类产业的发展轴线；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四区：田园风光居住区、现代农业种植区、休闲娱乐旅游区、工业发展区；</w:t>
      </w:r>
    </w:p>
    <w:p>
      <w:pPr>
        <w:pStyle w:val="2"/>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黑体" w:hAnsi="黑体" w:eastAsia="黑体" w:cs="黑体"/>
          <w:b/>
          <w:bCs/>
          <w:sz w:val="32"/>
          <w:szCs w:val="32"/>
          <w:highlight w:val="none"/>
          <w:lang w:val="en-US" w:eastAsia="zh-CN"/>
        </w:rPr>
      </w:pPr>
      <w:bookmarkStart w:id="10" w:name="_Toc2559"/>
      <w:r>
        <w:rPr>
          <w:rFonts w:hint="eastAsia" w:ascii="黑体" w:hAnsi="黑体" w:eastAsia="黑体" w:cs="黑体"/>
          <w:b/>
          <w:bCs/>
          <w:kern w:val="2"/>
          <w:sz w:val="32"/>
          <w:szCs w:val="32"/>
          <w:lang w:val="en-US" w:eastAsia="zh-CN" w:bidi="ar-SA"/>
        </w:rPr>
        <w:t>七、</w:t>
      </w:r>
      <w:r>
        <w:rPr>
          <w:rFonts w:hint="eastAsia" w:ascii="黑体" w:hAnsi="黑体" w:eastAsia="黑体" w:cs="黑体"/>
          <w:b/>
          <w:bCs/>
          <w:sz w:val="32"/>
          <w:szCs w:val="32"/>
          <w:highlight w:val="none"/>
          <w:lang w:val="en-US" w:eastAsia="zh-CN"/>
        </w:rPr>
        <w:t>用地结构与规划布局</w:t>
      </w:r>
      <w:bookmarkEnd w:id="10"/>
    </w:p>
    <w:tbl>
      <w:tblPr>
        <w:tblStyle w:val="5"/>
        <w:tblW w:w="0" w:type="auto"/>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6"/>
        <w:gridCol w:w="874"/>
        <w:gridCol w:w="696"/>
        <w:gridCol w:w="831"/>
        <w:gridCol w:w="1211"/>
        <w:gridCol w:w="1022"/>
        <w:gridCol w:w="1211"/>
        <w:gridCol w:w="1022"/>
        <w:gridCol w:w="11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blHeader/>
        </w:trPr>
        <w:tc>
          <w:tcPr>
            <w:tcW w:w="0" w:type="auto"/>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杨渠村国土空间规划表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blHeader/>
        </w:trPr>
        <w:tc>
          <w:tcPr>
            <w:tcW w:w="0" w:type="auto"/>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用地用海分类代码和名称</w:t>
            </w: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基期年现状</w:t>
            </w: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规划目标年</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增减面积(公顷)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0" w:type="auto"/>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一级类</w:t>
            </w:r>
          </w:p>
        </w:tc>
        <w:tc>
          <w:tcPr>
            <w:tcW w:w="0" w:type="auto"/>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二级类</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面积（公顷）</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占比（%）</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面积（公顷）</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占比（%）</w:t>
            </w: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0" w:type="auto"/>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耕地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223.0385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59.27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232.0059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61.65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8.9674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0102</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水浇地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15.8645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15.2297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-0.6348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238.9030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63.48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247.2356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65.70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8.3326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园地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果园</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0.8687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0.23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3.6130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2.7443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0.8687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0.23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3.6130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2.7443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03</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林地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0301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乔木林地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2.5457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2.7083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0.1626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0304</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其他林地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8.6582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0.2627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-8.3954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11.2039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2.9711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-8.2329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草地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其他草地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6.2807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1.4517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-4.8290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6.2807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1.4517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-4.8290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农业设施建设用地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乡村道路用地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3.7504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4.1603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0.4099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畜禽养殖设施建设用地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8.3230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10.2985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2.74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1.9755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0604</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水产养殖设施建设用地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4.2776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4.2776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1.14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16.3510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4.34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18.7364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2.3855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居住用地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农村宅基地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41.9206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11.14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41.6223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11.06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-0.2983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0704</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农村社区服务设施用地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0.3711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0.3711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42.2917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11.24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41.9935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11.16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-0.2983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公共管理与公共服务用地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0804</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教育用地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0.5302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0.5302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0.14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0806</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医疗卫生用地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0.0413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0.0413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0.5715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0.5715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商业服务业用地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商业用地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0.3238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0.3238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0.3238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0.3238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工矿用地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工业用地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6.5577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6.7809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0.2232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6.5577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6.7809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0.2232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仓储用地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物流仓储用地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0.6715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0.6715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0.6715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0.6715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交通运输用地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1202</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公路用地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1.5989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1.5989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1.5989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1.5989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Style w:val="9"/>
                <w:rFonts w:hint="default" w:ascii="Times New Roman" w:hAnsi="Times New Roman" w:cs="Times New Roman"/>
                <w:sz w:val="24"/>
                <w:szCs w:val="24"/>
                <w:lang w:val="en-US" w:eastAsia="zh-CN" w:bidi="ar"/>
              </w:rPr>
              <w:t>公用设施用地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1306</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通信用地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0.0182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0.0182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1312</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水工设施用地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0.0061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0.0061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0.0243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0.0243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绿地与开场空间</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广场用地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0.5384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0.8425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0.3041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仿宋"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0.5384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0.8425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0.3041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特殊用地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宗教用地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0.6918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0.6918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1506</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殡葬用地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0.2309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0.2309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1507</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其他特殊用地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0.1668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-0.1668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1.0895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0.9227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-0.1668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留白用地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留白用地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0.8217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0.8217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0.0000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0.8217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0.8217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陆地水域</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1705</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沟渠</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44.9698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11.95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44.9547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11.95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-0.0151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44.9698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11.95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44.9547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11.95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-0.0151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其他土地</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2301</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空闲地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0.0475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0.0475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2303</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田间道</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2.8519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0.76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2.5624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0.68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-0.2895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2306</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裸土地</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1.1916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0.32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0.2119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-0.9797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i w:val="0"/>
                <w:iCs w:val="0"/>
                <w:color w:val="000000"/>
                <w:sz w:val="24"/>
                <w:szCs w:val="24"/>
                <w:u w:val="none"/>
              </w:rPr>
            </w:pPr>
          </w:p>
        </w:tc>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b/>
                <w:bCs/>
                <w:i w:val="0"/>
                <w:iCs w:val="0"/>
                <w:color w:val="000000"/>
                <w:sz w:val="24"/>
                <w:szCs w:val="24"/>
                <w:u w:val="none"/>
              </w:rPr>
            </w:pPr>
          </w:p>
        </w:tc>
        <w:tc>
          <w:tcPr>
            <w:tcW w:w="0" w:type="auto"/>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小计</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4.0911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1.09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2.8219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0.75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-1.2692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0" w:type="auto"/>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合计</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376.3357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c>
          <w:tcPr>
            <w:tcW w:w="0" w:type="auto"/>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376.3357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0.0000 </w:t>
            </w:r>
          </w:p>
        </w:tc>
      </w:tr>
    </w:tbl>
    <w:p>
      <w:pPr>
        <w:pStyle w:val="2"/>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val="0"/>
          <w:sz w:val="32"/>
          <w:szCs w:val="32"/>
          <w:highlight w:val="none"/>
          <w:lang w:val="en-US" w:eastAsia="zh-CN"/>
        </w:rPr>
      </w:pPr>
      <w:bookmarkStart w:id="11" w:name="_Toc14917"/>
      <w:bookmarkStart w:id="12" w:name="_Toc32391"/>
      <w:bookmarkStart w:id="13" w:name="_Toc30458"/>
      <w:bookmarkStart w:id="14" w:name="_Toc11627"/>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highlight w:val="none"/>
          <w:lang w:val="en-US" w:eastAsia="zh-CN"/>
        </w:rPr>
        <w:t>产业发展布局</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杨渠村现状资源禀赋，积极推进村庄产业融合发展，形成布局合理、功能多样、业态丰富的产业发展新格局。结合杨渠村产业发展现状，为切实落实村庄规划定位与目标，促进村庄产业融合发展，规划形成“一心、一轴、五片区”的产业空间布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一心：</w:t>
      </w:r>
      <w:r>
        <w:rPr>
          <w:rFonts w:hint="default" w:ascii="仿宋_GB2312" w:hAnsi="仿宋_GB2312" w:eastAsia="仿宋_GB2312" w:cs="仿宋_GB2312"/>
          <w:sz w:val="32"/>
          <w:szCs w:val="32"/>
          <w:lang w:val="en-US" w:eastAsia="zh-CN"/>
        </w:rPr>
        <w:t>即以杨渠村委会为核心形成产业综合服务中心。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一轴：</w:t>
      </w:r>
      <w:r>
        <w:rPr>
          <w:rFonts w:hint="default" w:ascii="仿宋_GB2312" w:hAnsi="仿宋_GB2312" w:eastAsia="仿宋_GB2312" w:cs="仿宋_GB2312"/>
          <w:sz w:val="32"/>
          <w:szCs w:val="32"/>
          <w:lang w:val="en-US" w:eastAsia="zh-CN"/>
        </w:rPr>
        <w:t>即以柴杨路形成的产业融合发展轴。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五区：</w:t>
      </w:r>
      <w:r>
        <w:rPr>
          <w:rFonts w:hint="default" w:ascii="仿宋_GB2312" w:hAnsi="仿宋_GB2312" w:eastAsia="仿宋_GB2312" w:cs="仿宋_GB2312"/>
          <w:sz w:val="32"/>
          <w:szCs w:val="32"/>
          <w:lang w:val="en-US" w:eastAsia="zh-CN"/>
        </w:rPr>
        <w:t>规划以村庄发展格局为基础，通过产业整合形成：现代农业种植区、高效农业区、文化旅游休闲区、农业精深加工区、生态养殖区。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现代农业种植区：</w:t>
      </w:r>
      <w:r>
        <w:rPr>
          <w:rFonts w:hint="default" w:ascii="仿宋_GB2312" w:hAnsi="仿宋_GB2312" w:eastAsia="仿宋_GB2312" w:cs="仿宋_GB2312"/>
          <w:sz w:val="32"/>
          <w:szCs w:val="32"/>
          <w:lang w:val="en-US" w:eastAsia="zh-CN"/>
        </w:rPr>
        <w:t>以种植玉米为主；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高效农业种植区：</w:t>
      </w:r>
      <w:r>
        <w:rPr>
          <w:rFonts w:hint="default" w:ascii="仿宋_GB2312" w:hAnsi="仿宋_GB2312" w:eastAsia="仿宋_GB2312" w:cs="仿宋_GB2312"/>
          <w:sz w:val="32"/>
          <w:szCs w:val="32"/>
          <w:lang w:val="en-US" w:eastAsia="zh-CN"/>
        </w:rPr>
        <w:t>以种植小麦为主；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文化旅游休闲区：</w:t>
      </w:r>
      <w:r>
        <w:rPr>
          <w:rFonts w:hint="default" w:ascii="仿宋_GB2312" w:hAnsi="仿宋_GB2312" w:eastAsia="仿宋_GB2312" w:cs="仿宋_GB2312"/>
          <w:sz w:val="32"/>
          <w:szCs w:val="32"/>
          <w:lang w:val="en-US" w:eastAsia="zh-CN"/>
        </w:rPr>
        <w:t>以村庄养殖坑塘为基础，以休闲渔业为抓手，结合周边旅游资源，打造利通区周末度假基地；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农业精深加工区：</w:t>
      </w:r>
      <w:r>
        <w:rPr>
          <w:rFonts w:hint="default" w:ascii="仿宋_GB2312" w:hAnsi="仿宋_GB2312" w:eastAsia="仿宋_GB2312" w:cs="仿宋_GB2312"/>
          <w:sz w:val="32"/>
          <w:szCs w:val="32"/>
          <w:lang w:val="en-US" w:eastAsia="zh-CN"/>
        </w:rPr>
        <w:t>以农产品精深加工为主；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生态养殖区：</w:t>
      </w:r>
      <w:r>
        <w:rPr>
          <w:rFonts w:hint="default" w:ascii="仿宋_GB2312" w:hAnsi="仿宋_GB2312" w:eastAsia="仿宋_GB2312" w:cs="仿宋_GB2312"/>
          <w:sz w:val="32"/>
          <w:szCs w:val="32"/>
          <w:lang w:val="en-US" w:eastAsia="zh-CN"/>
        </w:rPr>
        <w:t>以肉牛、肉鸡标准化养殖为主。</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kern w:val="2"/>
          <w:sz w:val="32"/>
          <w:szCs w:val="32"/>
          <w:lang w:val="en-US" w:eastAsia="zh-CN" w:bidi="ar-SA"/>
        </w:rPr>
        <w:t>九、</w:t>
      </w:r>
      <w:r>
        <w:rPr>
          <w:rFonts w:hint="eastAsia" w:ascii="黑体" w:hAnsi="黑体" w:eastAsia="黑体" w:cs="黑体"/>
          <w:b w:val="0"/>
          <w:bCs w:val="0"/>
          <w:sz w:val="32"/>
          <w:szCs w:val="32"/>
          <w:highlight w:val="none"/>
          <w:lang w:val="en-US" w:eastAsia="zh-CN"/>
        </w:rPr>
        <w:t>居民点建设规划</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保留：</w:t>
      </w:r>
      <w:r>
        <w:rPr>
          <w:rFonts w:hint="default" w:ascii="仿宋_GB2312" w:hAnsi="仿宋_GB2312" w:eastAsia="仿宋_GB2312" w:cs="仿宋_GB2312"/>
          <w:sz w:val="32"/>
          <w:szCs w:val="32"/>
          <w:lang w:val="en-US" w:eastAsia="zh-CN"/>
        </w:rPr>
        <w:t>规划保留杨渠村523户建筑质量较好的住宅。</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整治：</w:t>
      </w:r>
      <w:r>
        <w:rPr>
          <w:rFonts w:hint="default" w:ascii="仿宋_GB2312" w:hAnsi="仿宋_GB2312" w:eastAsia="仿宋_GB2312" w:cs="仿宋_GB2312"/>
          <w:sz w:val="32"/>
          <w:szCs w:val="32"/>
          <w:lang w:val="en-US" w:eastAsia="zh-CN"/>
        </w:rPr>
        <w:t>规划整治杨渠村81户建筑质量较差、居住环境较差的住宅，通过对大门、院墙、庭院、门窗、屋顶等整治改造，提升景观风貌，提高居住舒适度。</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原址翻建：</w:t>
      </w:r>
      <w:r>
        <w:rPr>
          <w:rFonts w:hint="default" w:ascii="仿宋_GB2312" w:hAnsi="仿宋_GB2312" w:eastAsia="仿宋_GB2312" w:cs="仿宋_GB2312"/>
          <w:sz w:val="32"/>
          <w:szCs w:val="32"/>
          <w:lang w:val="en-US" w:eastAsia="zh-CN"/>
        </w:rPr>
        <w:t>规划拆除杨渠村居民点建筑质量较差的11户住宅，按照“拆一补一”原则，采用原址翻建的方式新建11户住宅。</w:t>
      </w:r>
    </w:p>
    <w:p>
      <w:pPr>
        <w:pageBreakBefore w:val="0"/>
        <w:kinsoku/>
        <w:wordWrap/>
        <w:overflowPunct/>
        <w:topLinePunct w:val="0"/>
        <w:autoSpaceDE/>
        <w:autoSpaceDN/>
        <w:bidi w:val="0"/>
        <w:adjustRightInd/>
        <w:snapToGrid/>
        <w:spacing w:line="240" w:lineRule="exact"/>
        <w:rPr>
          <w:sz w:val="21"/>
          <w:szCs w:val="21"/>
        </w:rPr>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DE0NmQzNGRjMzYyYjBmN2ZlNzI4YTNhZTk0YmUifQ=="/>
  </w:docVars>
  <w:rsids>
    <w:rsidRoot w:val="1CB07DB2"/>
    <w:rsid w:val="03AC4534"/>
    <w:rsid w:val="1CB07DB2"/>
    <w:rsid w:val="227C45DD"/>
    <w:rsid w:val="274820B8"/>
    <w:rsid w:val="3B1212AB"/>
    <w:rsid w:val="435B521E"/>
    <w:rsid w:val="44103433"/>
    <w:rsid w:val="763A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仿宋" w:cstheme="minorBidi"/>
      <w:kern w:val="2"/>
      <w:sz w:val="30"/>
      <w:szCs w:val="30"/>
      <w:lang w:val="en-US" w:eastAsia="zh-CN" w:bidi="ar-SA"/>
    </w:rPr>
  </w:style>
  <w:style w:type="paragraph" w:styleId="2">
    <w:name w:val="heading 2"/>
    <w:basedOn w:val="1"/>
    <w:next w:val="1"/>
    <w:unhideWhenUsed/>
    <w:qFormat/>
    <w:uiPriority w:val="0"/>
    <w:pPr>
      <w:keepNext/>
      <w:keepLines/>
      <w:spacing w:before="200" w:beforeLines="0" w:beforeAutospacing="0" w:after="200" w:afterLines="0" w:afterAutospacing="0" w:line="360" w:lineRule="auto"/>
      <w:ind w:firstLine="0" w:firstLineChars="0"/>
      <w:jc w:val="both"/>
      <w:outlineLvl w:val="1"/>
    </w:pPr>
    <w:rPr>
      <w:sz w:val="32"/>
      <w:szCs w:val="32"/>
    </w:rPr>
  </w:style>
  <w:style w:type="paragraph" w:styleId="3">
    <w:name w:val="heading 3"/>
    <w:basedOn w:val="1"/>
    <w:next w:val="1"/>
    <w:unhideWhenUsed/>
    <w:qFormat/>
    <w:uiPriority w:val="0"/>
    <w:pPr>
      <w:keepNext w:val="0"/>
      <w:keepLines w:val="0"/>
      <w:spacing w:before="200" w:beforeLines="0" w:beforeAutospacing="0" w:after="200" w:afterLines="0" w:afterAutospacing="0" w:line="360" w:lineRule="auto"/>
      <w:outlineLvl w:val="2"/>
    </w:pPr>
    <w:rPr>
      <w:rFonts w:ascii="Times New Roman" w:hAnsi="Times New Roman" w:eastAsia="黑体"/>
    </w:rPr>
  </w:style>
  <w:style w:type="paragraph" w:styleId="4">
    <w:name w:val="heading 4"/>
    <w:basedOn w:val="1"/>
    <w:next w:val="1"/>
    <w:unhideWhenUsed/>
    <w:qFormat/>
    <w:uiPriority w:val="0"/>
    <w:pPr>
      <w:keepNext/>
      <w:keepLines/>
      <w:spacing w:beforeLines="0" w:beforeAutospacing="0" w:afterLines="0" w:afterAutospacing="0" w:line="360" w:lineRule="auto"/>
      <w:outlineLvl w:val="3"/>
    </w:pPr>
    <w:rPr>
      <w:rFonts w:ascii="Times New Roman" w:hAnsi="Times New Roman" w:eastAsia="仿宋"/>
      <w:b/>
      <w:bCs/>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表头"/>
    <w:basedOn w:val="1"/>
    <w:qFormat/>
    <w:uiPriority w:val="0"/>
    <w:pPr>
      <w:ind w:firstLine="0" w:firstLineChars="0"/>
      <w:jc w:val="center"/>
    </w:pPr>
    <w:rPr>
      <w:b/>
      <w:bCs/>
      <w:sz w:val="28"/>
      <w:szCs w:val="28"/>
    </w:rPr>
  </w:style>
  <w:style w:type="paragraph" w:customStyle="1" w:styleId="8">
    <w:name w:val="表文"/>
    <w:basedOn w:val="7"/>
    <w:qFormat/>
    <w:uiPriority w:val="0"/>
    <w:pPr>
      <w:spacing w:line="240" w:lineRule="auto"/>
    </w:pPr>
    <w:rPr>
      <w:rFonts w:ascii="Times New Roman" w:hAnsi="Times New Roman"/>
      <w:b w:val="0"/>
      <w:bCs w:val="0"/>
      <w:sz w:val="24"/>
      <w:szCs w:val="24"/>
    </w:rPr>
  </w:style>
  <w:style w:type="character" w:customStyle="1" w:styleId="9">
    <w:name w:val="font11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2023-11-24T01:54:00Z</dcterms:created>
  <dc:creator>Administrator</dc:creator>
  <cp:lastModifiedBy>Administrator</cp:lastModifiedBy>
  <cp:lastPrinted>2023-11-24T09:32:27Z</cp:lastPrinted>
  <dcterms:modified xsi:type="dcterms:W3CDTF">2023-11-24T09:35:23Z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6295011AC7E9435B9B479A92BD9F05C8</vt:lpwstr>
  </property>
</Properties>
</file>