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0" w:line="240" w:lineRule="auto"/>
        <w:ind w:left="1849" w:right="1089" w:hanging="754" w:firstLineChars="0"/>
        <w:jc w:val="center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</w:rPr>
        <w:t>吴忠市利通区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  <w:lang w:eastAsia="zh-CN"/>
        </w:rPr>
        <w:t>扁担沟镇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0" w:line="240" w:lineRule="auto"/>
        <w:ind w:left="1849" w:right="1089" w:hanging="754" w:firstLineChars="0"/>
        <w:jc w:val="center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  <w:lang w:eastAsia="zh-CN"/>
        </w:rPr>
        <w:t>良繁场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40"/>
          <w:szCs w:val="40"/>
        </w:rPr>
        <w:t>村庄规划（2023-2035年）</w:t>
      </w:r>
    </w:p>
    <w:p>
      <w:pPr>
        <w:pStyle w:val="2"/>
        <w:numPr>
          <w:ilvl w:val="1"/>
          <w:numId w:val="0"/>
        </w:numPr>
        <w:ind w:leftChars="200"/>
        <w:rPr>
          <w:rFonts w:hint="eastAsia"/>
        </w:rPr>
      </w:pPr>
      <w:bookmarkStart w:id="25" w:name="_GoBack"/>
      <w:bookmarkEnd w:id="25"/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项目名称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《 利通区扁担沟镇良繁场村庄规划（2023—2035年） 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村庄类型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良繁场属于“整治改善类村庄”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规划范围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本次村庄规划范围为扁担沟镇良繁场全部国土空间总面积325.70公顷（合4885.80亩）。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规划期限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规划基期年为2022年，规划期限为2023-2035年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近期：2023-2025年；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远期：2026-2035年。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规划人口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规划近期( 2025 年 ) ：户籍人口 539 人，常住人口 159人；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规划远期( 2035 年 ) ：户籍人口 550 人，常住人口 166 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目标定位与规模确定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600" w:firstLineChars="200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 一 ） 村庄定位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良繁场将特色农作物种植为主导，依托“扁担沟苹果”品牌，推进苹果产业规模扩张与质量、效益同步提高，进一步发展林下经济，配套发展乡村观光采摘、农产品加工等辅助产业，打造扁担沟镇田园经济先行点，将一二三产有机结合起来，让设施农业集中化、规模化。将良繁场建设成田园变乐园、宜居又宜业的产业融合型村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600" w:firstLineChars="200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 二 ） 村庄规模</w:t>
      </w:r>
    </w:p>
    <w:p>
      <w:pPr>
        <w:pStyle w:val="2"/>
        <w:numPr>
          <w:ilvl w:val="1"/>
          <w:numId w:val="0"/>
        </w:numPr>
        <w:spacing w:before="0" w:beforeLines="0" w:after="0" w:afterLines="0"/>
        <w:ind w:left="403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表</w:t>
      </w:r>
      <w:r>
        <w:rPr>
          <w:rFonts w:ascii="仿宋" w:hAnsi="仿宋" w:eastAsia="仿宋"/>
          <w:sz w:val="21"/>
          <w:szCs w:val="21"/>
        </w:rPr>
        <w:t>2</w:t>
      </w:r>
      <w:r>
        <w:rPr>
          <w:rFonts w:hint="eastAsia" w:ascii="仿宋" w:hAnsi="仿宋" w:eastAsia="仿宋"/>
          <w:sz w:val="21"/>
          <w:szCs w:val="21"/>
        </w:rPr>
        <w:t>-1规划指标表</w:t>
      </w:r>
    </w:p>
    <w:tbl>
      <w:tblPr>
        <w:tblStyle w:val="8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3"/>
        <w:gridCol w:w="3737"/>
        <w:gridCol w:w="1023"/>
        <w:gridCol w:w="1023"/>
        <w:gridCol w:w="102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  <w:jc w:val="center"/>
        </w:trPr>
        <w:tc>
          <w:tcPr>
            <w:tcW w:w="1023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类型</w:t>
            </w:r>
          </w:p>
        </w:tc>
        <w:tc>
          <w:tcPr>
            <w:tcW w:w="3737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现状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规划目标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远期</w:t>
            </w:r>
          </w:p>
        </w:tc>
        <w:tc>
          <w:tcPr>
            <w:tcW w:w="103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村庄发展</w:t>
            </w: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常住人口（人）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户籍人口（人）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539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村庄集体收入（万元）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人均可支配收入（元）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国土空间开发保护</w:t>
            </w: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耕地保有量（公顷）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190.78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190.78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190.78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永久基本农田保护面积（公顷）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171.91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171.91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171.91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生态保护红线面积（公顷）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林地保有量（公顷）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9.49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5.19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湿地面积（公顷）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村庄建设边界面积（公顷）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25.27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33.64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33.64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留白用地（公顷）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建设用地总规模（公顷）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29.19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37.56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37.56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新增建设用地（公顷）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8.37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8.37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人均村庄建设用地（平方米/人）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543.57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696.84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682.26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公共服务设施用地规模（公顷）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1.62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2.74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2.74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基础设施用地规模（公顷）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3.63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3.63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3.63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1023" w:type="dxa"/>
            <w:vMerge w:val="continue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集体经营性建设用地面积（公顷）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1.31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4.36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8.16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人居环境</w:t>
            </w: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农村生活垃圾集中处理率（%）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1023" w:type="dxa"/>
            <w:vMerge w:val="continue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村庄污水处理率（%）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1023" w:type="dxa"/>
            <w:vMerge w:val="continue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37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户用厕所普及率（%）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887" w:type="dxa"/>
            <w:gridSpan w:val="7"/>
            <w:shd w:val="clear" w:color="auto" w:fill="auto"/>
            <w:noWrap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备注：规划内容不涉及相关约束性指标可不填写，预期性指标可按村庄实际情况进行增减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底线管控与国土空间格局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600" w:firstLineChars="200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 一 ） 底线管控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r>
        <w:rPr>
          <w:rFonts w:hint="eastAsia" w:eastAsia="仿宋" w:asciiTheme="minorAscii" w:hAnsiTheme="minorAscii"/>
          <w:sz w:val="28"/>
          <w:lang w:val="en-US" w:eastAsia="zh-CN"/>
        </w:rPr>
        <w:t>根据吴忠市利通区三区三线划定结果，良繁场村村庄永久基本农田保护面积171.91公顷。耕地保有量为190.78公顷，规划期末耕地面积为192.81公顷，不涉及城镇开发边界，不涉及生态保护红线。良繁场村庄建设边界33.64公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600" w:firstLineChars="200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 二 ） 国土空间格局</w:t>
      </w:r>
    </w:p>
    <w:p>
      <w:pPr>
        <w:bidi w:val="0"/>
        <w:ind w:firstLine="560" w:firstLineChars="200"/>
        <w:rPr>
          <w:rFonts w:hint="eastAsia" w:eastAsia="仿宋" w:asciiTheme="minorAscii" w:hAnsiTheme="minorAscii"/>
          <w:sz w:val="28"/>
          <w:lang w:val="en-US" w:eastAsia="zh-CN"/>
        </w:rPr>
      </w:pPr>
      <w:bookmarkStart w:id="0" w:name="_Toc109978909"/>
      <w:bookmarkStart w:id="1" w:name="_Toc141627608"/>
      <w:r>
        <w:rPr>
          <w:rFonts w:hint="eastAsia" w:eastAsia="仿宋" w:asciiTheme="minorAscii" w:hAnsiTheme="minorAscii"/>
          <w:sz w:val="28"/>
          <w:lang w:val="en-US" w:eastAsia="zh-CN"/>
        </w:rPr>
        <w:t>本次规划划定良繁场村农业生产空间面积272.19公顷，占村庄总用地面积的83.57%；生态保护空间面积为17.83公顷，占村庄总用地面积的5.47%；村庄建设空间面积35.70公顷，占村庄总用地面积的10.96%。</w:t>
      </w:r>
    </w:p>
    <w:p>
      <w:pPr>
        <w:pStyle w:val="2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79950" cy="5626100"/>
            <wp:effectExtent l="0" t="0" r="6350" b="12700"/>
            <wp:docPr id="137" name="图片 137" descr="G:/吴忠良繁场修改/良繁场图0726/tu/良繁场图0817/G0707国土空间.jpgG0707国土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G:/吴忠良繁场修改/良繁场图0726/tu/良繁场图0817/G0707国土空间.jpgG0707国土空间"/>
                    <pic:cNvPicPr>
                      <a:picLocks noChangeAspect="1"/>
                    </pic:cNvPicPr>
                  </pic:nvPicPr>
                  <pic:blipFill>
                    <a:blip r:embed="rId7"/>
                    <a:srcRect t="10021" b="507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图7-1 国土空间格局示意图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产业</w:t>
      </w:r>
      <w:bookmarkEnd w:id="0"/>
      <w:bookmarkEnd w:id="1"/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良繁场形成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“五片区”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的产业发展布局。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宜居生活区：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对村庄人居环境进行整治，打造宜居宜业和美的人居环境；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特色农作物种植区：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依托现状富硒苹果种植基础，大力发展富硒农产品种植，争取实现产量增、质量优、模式多、效益好的特色农作物种植；村庄养殖、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农产品加工区：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依托现状肉牛养殖基础，扩大养殖规模，发展肉牛养殖基地；农产品加工区配套一产延伸新建二产企业，对村庄中的农产品进行加工以提高附属价值。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传统农作物种植区：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建设高标准农田，打造连片宜耕宜机械化的作业基地，种植优质玉米等粮食作物，争取成为扁担沟镇的高效农业示范基地。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商贸服务区：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以周边高糜子湾村、扁担沟镇镇区进行联动，在村东北部发展商业，促进商业连片发展，承接与带动扁担沟镇整体发展。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居民点建设规划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规划远期，将村庄周边零散宅基地拆迁撤并，向着高烽路交叉口集中安置布局，利用村庄中的零散用地，安置农宅按照见缝插针的方式，实现村庄居住用地整体集中布局。规划末期宅基地面积13.37公顷。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</w:trPr>
        <w:tc>
          <w:tcPr>
            <w:tcW w:w="10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867785" cy="5019040"/>
                  <wp:effectExtent l="0" t="0" r="18415" b="10160"/>
                  <wp:docPr id="148" name="图片 148" descr="13居名点总平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 descr="13居名点总平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822" t="10280" r="3855" b="5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785" cy="50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bidi w:val="0"/>
              <w:spacing w:line="240" w:lineRule="auto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图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9-1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居民点总平面</w:t>
            </w:r>
            <w:r>
              <w:rPr>
                <w:rFonts w:hint="eastAsia" w:ascii="仿宋" w:hAnsi="仿宋" w:eastAsia="仿宋" w:cs="仿宋"/>
                <w:highlight w:val="none"/>
              </w:rPr>
              <w:t>图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884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基础设施与公共服务设施规划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一 ) 道路交通工程规划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建设与村庄相适应，布局合理、经济适用的道路网系统。村庄居民点内部道路分为三级：村庄主要道路、村庄支路及巷道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9"/>
          <w:kern w:val="2"/>
          <w:sz w:val="28"/>
          <w:szCs w:val="28"/>
          <w:lang w:val="en-US" w:eastAsia="zh-CN" w:bidi="ar-SA"/>
        </w:rPr>
        <w:t>规划对现状破损的道路进行维修，材质为混凝土硬化路面，规划期内结合农宅布局主要对道路景观进行配置，并在道路两侧种植行道树、花卉，局部种植经果林，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本次规划结合实际情况，硬化村庄道路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1120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米。规划对村内进行路灯增设，对村庄进行亮化，共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盏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二 ) 给水工程规划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村庄饮用水接自金积水厂，集中供水，村庄自来水普及率达100%，现状自来水管网已覆盖良繁场村现有的庄点。规划保留现状给水水源，因此本次保持不变，不再新增管网，只对老化给水管网进行替换改造，定期实行水质监测，确保农村人畜饮用水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三 ) 排水工程规划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规划期内，村庄排水体制采用雨污分流的排水体制。良繁场2035年的污水排放系数取0.8，即规划期末良繁场污水量预测为59.12m3/d *0.8=47.296m3/d。根据村庄布局、地势情况，规划剩余村组沿道路单侧增设排水管道，规划污水主管采用管径为400mm双壁波纹管，支管采用管径为200mm的管道，使用地埋式敷设。本次将污水排至扁担沟镇区污水系统。因此本次规划不再新增污水处理厂。除此之外其他不符合管网建设条件的村组采用农户分散处理的方式（即单户配置小型处理装置）进行处理。（注：养殖园区自行采用污水处理装置进行养殖污水内部收集处理，不与居民点生活污水统一排放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四 ) 电力通信工程规划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良繁场村规划电力来源仍为扁担沟镇变电所，规划保留现状架空敷设的线网，并对老化线路进行更替改造，同时对未覆盖区域补充敷设线网，电力线路设置方式仍可采用架空的敷设方式，但架空线路必须规整，沿道路敷设，设杆方式与周边景观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良繁场现状通信信号覆盖率达到100%，卫星电视信号接收农户能稳定接收，能够满足村民日常通信需求。规划保留现状通信线路，改造升级破损线路，新增未覆盖区域线路的布设，线路沿道路布设。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五 ) 供热燃气工程规划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1.供热规划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default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良繁场开展“清洁能源”改造工程，规划期末完成清洁能源全部改造。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2.燃气规划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为保持良好的大气环境，良繁场村生产生活将使用清洁能源。规划村庄以天然气为主，瓶装液化石油气为辅，规划期内实现天然气全部入户，天然气管网接自金积镇配气站，沿支路、巷道敷设，天然气主管道沿金五公路、高烽路铺设，管径为DN100，次管道沿村庄支路铺设，管径为DN50，设一个调压箱，管材采用焊接钢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 六 ) 环境卫生工程规划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根据生活垃圾箱服务半径一般不超过100m的原则，配套农户家用垃圾分类箱60个，结合居民点布局，由村委会组织清洁人员统一转运。配置两辆自卸式垃圾清运车，做到垃圾每周一转运和及时清理。村庄建立日常保洁和垃圾清运制度，实现村庄保洁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规划改造良繁场现有公共厕所，改造提升为水冲式公厕。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24" w:lineRule="auto"/>
        <w:ind w:left="0" w:firstLine="884"/>
        <w:jc w:val="left"/>
        <w:textAlignment w:val="baseline"/>
        <w:rPr>
          <w:rFonts w:hint="default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 七 ）公共服务设施</w:t>
      </w:r>
      <w:bookmarkStart w:id="2" w:name="_Toc13331"/>
      <w:bookmarkStart w:id="3" w:name="_Toc6904"/>
      <w:bookmarkStart w:id="4" w:name="_Toc3091"/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公共管理</w:t>
      </w:r>
      <w:bookmarkEnd w:id="2"/>
      <w:bookmarkEnd w:id="3"/>
      <w:bookmarkEnd w:id="4"/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完善提升村委会党群服务中心构建村庄综合管理服务的中心。</w:t>
      </w:r>
      <w:bookmarkStart w:id="5" w:name="_Toc32173"/>
      <w:bookmarkStart w:id="6" w:name="_Toc4610"/>
      <w:bookmarkStart w:id="7" w:name="_Toc14135"/>
      <w:bookmarkStart w:id="8" w:name="_Toc14605"/>
      <w:bookmarkStart w:id="9" w:name="_Toc150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医疗卫生</w:t>
      </w:r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良繁场村现状没有卫生室，规划新增1处卫生室，面积45平方米，打造标准化卫生室，提升医疗卫生服务水平。</w:t>
      </w:r>
      <w:bookmarkStart w:id="10" w:name="_Toc21433"/>
      <w:bookmarkStart w:id="11" w:name="_Toc6070"/>
      <w:bookmarkStart w:id="12" w:name="_Toc19963"/>
      <w:bookmarkStart w:id="13" w:name="_Toc32056"/>
      <w:bookmarkStart w:id="14" w:name="_Toc256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文体</w:t>
      </w:r>
      <w:bookmarkEnd w:id="10"/>
      <w:bookmarkEnd w:id="11"/>
      <w:bookmarkEnd w:id="12"/>
      <w:bookmarkEnd w:id="13"/>
      <w:bookmarkEnd w:id="14"/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全村现状有广场用地1处，位于高烽路西侧，规划增设苹果售卖展销、特色农产品销售，不仅为村民提供休闲娱乐场所，也助力村庄产业发展，配套停车场及简易公共厕所；规划新建公园绿地1处，位于高烽路西侧，配套健身器材及休息座椅、生态停车场，为村民提供公共活动场所。</w:t>
      </w:r>
      <w:bookmarkStart w:id="15" w:name="_Toc3183"/>
      <w:bookmarkStart w:id="16" w:name="_Toc29564"/>
      <w:bookmarkStart w:id="17" w:name="_Toc5289"/>
      <w:bookmarkStart w:id="18" w:name="_Toc25430"/>
      <w:bookmarkStart w:id="19" w:name="_Toc231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社会福利</w:t>
      </w:r>
      <w:bookmarkEnd w:id="15"/>
      <w:bookmarkEnd w:id="16"/>
      <w:bookmarkEnd w:id="17"/>
      <w:bookmarkEnd w:id="18"/>
      <w:bookmarkEnd w:id="19"/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：现状村庄有老年饭桌，满足村庄内老年人的就餐需求，本次规划不再设置社会福利设施。</w:t>
      </w:r>
      <w:bookmarkStart w:id="20" w:name="_Toc22555"/>
      <w:bookmarkStart w:id="21" w:name="_Toc21443"/>
      <w:bookmarkStart w:id="22" w:name="_Toc21882"/>
      <w:bookmarkStart w:id="23" w:name="_Toc16806"/>
      <w:bookmarkStart w:id="24" w:name="_Toc49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商业服务</w:t>
      </w:r>
      <w:bookmarkEnd w:id="20"/>
      <w:bookmarkEnd w:id="21"/>
      <w:bookmarkEnd w:id="22"/>
      <w:bookmarkEnd w:id="23"/>
      <w:bookmarkEnd w:id="24"/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现状村庄有村民自发形成的小型的沿街商铺，规划在靠近扁担沟镇区、金五公路南侧设置商业服务用地，依托良繁场便利的交通条件、优越的区位优势，发展运输服务业、商贸服务区，积极发展消费型服务业，以提升村民经济收入为引擎，植入多元业态，促进村庄服务业快速发展，激发村庄发展活力，发展特色农产品售卖集散，推广“扁担沟苹果”品牌，同时融入地方特色餐饮、生活服务、休闲娱乐等业态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14" w:lineRule="exact"/>
        <w:ind w:left="0" w:firstLine="648" w:firstLineChars="200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近期行动计划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良繁场</w:t>
      </w:r>
      <w:r>
        <w:rPr>
          <w:rFonts w:hint="eastAsia" w:ascii="仿宋" w:hAnsi="仿宋" w:eastAsia="仿宋" w:cs="仿宋_GB2312"/>
          <w:sz w:val="28"/>
          <w:szCs w:val="28"/>
        </w:rPr>
        <w:t>村近期内重点建设项目涉及国土综合整治、基础设施和公共服务设施、产业发展、人居环境整治等共计4大项2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小项建设内容，建设总投资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3302</w:t>
      </w:r>
      <w:r>
        <w:rPr>
          <w:rFonts w:hint="eastAsia" w:ascii="仿宋" w:hAnsi="仿宋" w:eastAsia="仿宋" w:cs="仿宋_GB2312"/>
          <w:sz w:val="28"/>
          <w:szCs w:val="28"/>
        </w:rPr>
        <w:t>万元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/>
        <w:ind w:left="0" w:right="0" w:firstLine="482"/>
        <w:textAlignment w:val="auto"/>
        <w:rPr>
          <w:rFonts w:hint="eastAsia"/>
          <w:kern w:val="0"/>
          <w:sz w:val="20"/>
          <w:highlight w:val="none"/>
        </w:rPr>
      </w:pPr>
      <w:r>
        <w:rPr>
          <w:rFonts w:hint="default"/>
        </w:rPr>
        <w:drawing>
          <wp:inline distT="0" distB="0" distL="114300" distR="114300">
            <wp:extent cx="5568950" cy="6899275"/>
            <wp:effectExtent l="0" t="0" r="12700" b="15875"/>
            <wp:docPr id="12" name="图片 4" descr="G:/02吴忠村规/吴中说明书修改0805/良繁场最后一版/26.jpg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G:/02吴忠村规/吴中说明书修改0805/良繁场最后一版/26.jpg26"/>
                    <pic:cNvPicPr>
                      <a:picLocks noChangeAspect="1"/>
                    </pic:cNvPicPr>
                  </pic:nvPicPr>
                  <pic:blipFill>
                    <a:blip r:embed="rId9"/>
                    <a:srcRect l="1209" t="9995" r="3257" b="6418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8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图 </w:t>
      </w:r>
      <w:r>
        <w:rPr>
          <w:rFonts w:hint="eastAsia" w:ascii="仿宋" w:hAnsi="仿宋" w:eastAsia="仿宋" w:cs="仿宋"/>
          <w:lang w:val="en-US" w:eastAsia="zh-CN"/>
        </w:rPr>
        <w:t>11-1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近期行动计划图</w:t>
      </w:r>
    </w:p>
    <w:sectPr>
      <w:footerReference r:id="rId5" w:type="default"/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F0C89"/>
    <w:multiLevelType w:val="singleLevel"/>
    <w:tmpl w:val="960F0C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4F5AA3"/>
    <w:multiLevelType w:val="multilevel"/>
    <w:tmpl w:val="E24F5AA3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7850F31E"/>
    <w:multiLevelType w:val="multilevel"/>
    <w:tmpl w:val="7850F31E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7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DYxOTc2OWZmMDhlOWQ2ODMxOGRlODU5ODliZDEifQ=="/>
  </w:docVars>
  <w:rsids>
    <w:rsidRoot w:val="00583B8C"/>
    <w:rsid w:val="000117E1"/>
    <w:rsid w:val="00053033"/>
    <w:rsid w:val="00163520"/>
    <w:rsid w:val="001D247C"/>
    <w:rsid w:val="003213BE"/>
    <w:rsid w:val="0034360C"/>
    <w:rsid w:val="004006DE"/>
    <w:rsid w:val="00421DE0"/>
    <w:rsid w:val="00485D09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418C8"/>
    <w:rsid w:val="00794258"/>
    <w:rsid w:val="007E294C"/>
    <w:rsid w:val="007F45EC"/>
    <w:rsid w:val="008536E4"/>
    <w:rsid w:val="00893197"/>
    <w:rsid w:val="008B0F9B"/>
    <w:rsid w:val="008F006E"/>
    <w:rsid w:val="00935DF2"/>
    <w:rsid w:val="00A41B92"/>
    <w:rsid w:val="00A83618"/>
    <w:rsid w:val="00AD6DF9"/>
    <w:rsid w:val="00B17A9C"/>
    <w:rsid w:val="00BF583F"/>
    <w:rsid w:val="00C35F05"/>
    <w:rsid w:val="00C71679"/>
    <w:rsid w:val="00D460ED"/>
    <w:rsid w:val="00DC684C"/>
    <w:rsid w:val="00E32BB8"/>
    <w:rsid w:val="00F0116D"/>
    <w:rsid w:val="00F036C9"/>
    <w:rsid w:val="00F03B5D"/>
    <w:rsid w:val="00F16B0D"/>
    <w:rsid w:val="00F263BE"/>
    <w:rsid w:val="00FB450F"/>
    <w:rsid w:val="00FC77D4"/>
    <w:rsid w:val="01A52CC1"/>
    <w:rsid w:val="01FD609D"/>
    <w:rsid w:val="05D15877"/>
    <w:rsid w:val="06913258"/>
    <w:rsid w:val="07FD1FF2"/>
    <w:rsid w:val="19045B69"/>
    <w:rsid w:val="1C484F8E"/>
    <w:rsid w:val="1FC87893"/>
    <w:rsid w:val="291D29FD"/>
    <w:rsid w:val="2A8E16D9"/>
    <w:rsid w:val="2D406ACD"/>
    <w:rsid w:val="34EB2D70"/>
    <w:rsid w:val="3795483E"/>
    <w:rsid w:val="3D9D4A23"/>
    <w:rsid w:val="43C31F9B"/>
    <w:rsid w:val="49D046B8"/>
    <w:rsid w:val="4ADF6CF9"/>
    <w:rsid w:val="4F7D4DD5"/>
    <w:rsid w:val="521265C8"/>
    <w:rsid w:val="523C3645"/>
    <w:rsid w:val="5AB0718C"/>
    <w:rsid w:val="5BAF6C35"/>
    <w:rsid w:val="5CD30BF1"/>
    <w:rsid w:val="5F4C0477"/>
    <w:rsid w:val="5F6146EB"/>
    <w:rsid w:val="6062696C"/>
    <w:rsid w:val="613A0929"/>
    <w:rsid w:val="625C563D"/>
    <w:rsid w:val="631F0B45"/>
    <w:rsid w:val="69717C20"/>
    <w:rsid w:val="69CB28D2"/>
    <w:rsid w:val="6BAC3191"/>
    <w:rsid w:val="6D8223FC"/>
    <w:rsid w:val="6F345978"/>
    <w:rsid w:val="6F7B3153"/>
    <w:rsid w:val="74DB6895"/>
    <w:rsid w:val="750A10CA"/>
    <w:rsid w:val="78A37E8C"/>
    <w:rsid w:val="7C5C5F56"/>
    <w:rsid w:val="7C887303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100" w:beforeLines="100" w:after="100" w:afterLines="100"/>
      <w:outlineLvl w:val="1"/>
    </w:pPr>
    <w:rPr>
      <w:rFonts w:ascii="黑体" w:hAnsi="黑体" w:eastAsia="黑体"/>
      <w:b/>
      <w:bCs/>
      <w:sz w:val="32"/>
      <w:szCs w:val="30"/>
    </w:rPr>
  </w:style>
  <w:style w:type="paragraph" w:styleId="3">
    <w:name w:val="heading 4"/>
    <w:next w:val="1"/>
    <w:qFormat/>
    <w:uiPriority w:val="9"/>
    <w:pPr>
      <w:keepNext/>
      <w:keepLines/>
      <w:numPr>
        <w:ilvl w:val="3"/>
        <w:numId w:val="2"/>
      </w:numPr>
      <w:adjustRightInd w:val="0"/>
      <w:snapToGrid w:val="0"/>
      <w:spacing w:before="50" w:beforeLines="50" w:after="50" w:afterLines="50" w:line="240" w:lineRule="exact"/>
      <w:ind w:left="0"/>
      <w:outlineLvl w:val="3"/>
    </w:pPr>
    <w:rPr>
      <w:rFonts w:ascii="宋体" w:hAnsi="宋体" w:eastAsia="黑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widowControl w:val="0"/>
      <w:adjustRightInd/>
      <w:snapToGrid/>
      <w:spacing w:after="12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说明书正文"/>
    <w:basedOn w:val="1"/>
    <w:link w:val="12"/>
    <w:qFormat/>
    <w:uiPriority w:val="0"/>
    <w:pPr>
      <w:spacing w:line="600" w:lineRule="exact"/>
    </w:pPr>
    <w:rPr>
      <w:rFonts w:eastAsia="仿宋_GB2312"/>
      <w:sz w:val="32"/>
    </w:rPr>
  </w:style>
  <w:style w:type="character" w:customStyle="1" w:styleId="12">
    <w:name w:val="说明书正文 字符"/>
    <w:basedOn w:val="10"/>
    <w:link w:val="11"/>
    <w:qFormat/>
    <w:uiPriority w:val="0"/>
    <w:rPr>
      <w:rFonts w:eastAsia="仿宋_GB2312"/>
      <w:sz w:val="32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560" w:lineRule="exact"/>
      <w:ind w:firstLine="420" w:firstLineChars="200"/>
    </w:pPr>
  </w:style>
  <w:style w:type="paragraph" w:customStyle="1" w:styleId="16">
    <w:name w:val="表格"/>
    <w:basedOn w:val="17"/>
    <w:link w:val="18"/>
    <w:qFormat/>
    <w:uiPriority w:val="0"/>
    <w:pPr>
      <w:jc w:val="center"/>
    </w:pPr>
    <w:rPr>
      <w:szCs w:val="21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表格 Char"/>
    <w:basedOn w:val="10"/>
    <w:link w:val="16"/>
    <w:qFormat/>
    <w:uiPriority w:val="0"/>
    <w:rPr>
      <w:szCs w:val="21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图表名"/>
    <w:basedOn w:val="1"/>
    <w:link w:val="21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21">
    <w:name w:val="图表名 Char"/>
    <w:basedOn w:val="10"/>
    <w:link w:val="20"/>
    <w:qFormat/>
    <w:uiPriority w:val="0"/>
    <w:rPr>
      <w:rFonts w:ascii="Times New Roman" w:hAnsi="Times New Roman" w:cs="Times New Roman"/>
      <w:b/>
      <w:sz w:val="24"/>
      <w:szCs w:val="21"/>
    </w:rPr>
  </w:style>
  <w:style w:type="paragraph" w:customStyle="1" w:styleId="22">
    <w:name w:val="表格正文"/>
    <w:qFormat/>
    <w:uiPriority w:val="0"/>
    <w:pPr>
      <w:adjustRightInd w:val="0"/>
      <w:snapToGrid w:val="0"/>
      <w:jc w:val="center"/>
    </w:pPr>
    <w:rPr>
      <w:rFonts w:ascii="宋体" w:eastAsia="宋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23">
    <w:name w:val="图名"/>
    <w:basedOn w:val="24"/>
    <w:next w:val="1"/>
    <w:qFormat/>
    <w:uiPriority w:val="0"/>
    <w:pPr>
      <w:keepNext w:val="0"/>
    </w:pPr>
  </w:style>
  <w:style w:type="paragraph" w:customStyle="1" w:styleId="24">
    <w:name w:val="表名"/>
    <w:next w:val="22"/>
    <w:qFormat/>
    <w:uiPriority w:val="0"/>
    <w:pPr>
      <w:keepNext/>
      <w:adjustRightInd w:val="0"/>
      <w:snapToGrid w:val="0"/>
      <w:spacing w:before="50" w:beforeLines="50" w:after="50" w:afterLines="50"/>
      <w:jc w:val="center"/>
    </w:pPr>
    <w:rPr>
      <w:rFonts w:ascii="宋体" w:hAnsi="等线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xyt</Company>
  <Pages>5</Pages>
  <Words>2877</Words>
  <Characters>3381</Characters>
  <Lines>27</Lines>
  <Paragraphs>7</Paragraphs>
  <TotalTime>4</TotalTime>
  <ScaleCrop>false</ScaleCrop>
  <LinksUpToDate>false</LinksUpToDate>
  <CharactersWithSpaces>3381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2023-11-08T08:13:00Z</dcterms:created>
  <dc:creator>Rainbow</dc:creator>
  <cp:lastModifiedBy>慕士塔格</cp:lastModifiedBy>
  <dcterms:modified xsi:type="dcterms:W3CDTF">2023-11-21T14:08:33Z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47998B48AD66409E89E502940F48B3BF_13</vt:lpwstr>
  </property>
</Properties>
</file>