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hanging="2200" w:hangingChars="500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2640" w:hanging="2640" w:hangingChars="60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吴忠市利通区金积镇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val="en-US" w:eastAsia="zh-CN"/>
        </w:rPr>
        <w:t>关渠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村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村庄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  <w:t>规划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2640" w:hanging="2640" w:hangingChars="6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-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2035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年）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该规划成果多次征求乡镇、村两委和部门意见建议并与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日通过专家评审，专家共提出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条意见，全部采纳并进行了修改完善。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一、村庄人口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年末关渠村户籍人口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185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人，常住人口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人，常住率为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%。原有八个村民小队，五个小队已搬迁至金积镇安置楼内，现管辖三个村民小队。回族人口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388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人，其他民族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383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377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394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人，男女比例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二、村庄收入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年村集体经济收入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万元，来源闲置土地出租。农民人均可支配收入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年村集体经济收入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万元，来源闲置土地出租。农民人均可支配收入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11620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年村集体经济收入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万元，来源闲置土地出租，农民人均可支配收入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15460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年村集体经济收入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万元，来源闲置土地出租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闲置小学出租，农民人均可支配收入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16294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年村集体经济收入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万元，来源闲置土地出租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闲置小学出租，农民人均可支配收入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17026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三、村庄发展优势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交通条件便利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关渠村南临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303</w:t>
      </w:r>
      <w:r>
        <w:rPr>
          <w:rFonts w:hint="eastAsia" w:ascii="仿宋_GB2312" w:hAnsi="仿宋_GB2312" w:eastAsia="仿宋_GB2312" w:cs="仿宋_GB2312"/>
          <w:sz w:val="32"/>
          <w:szCs w:val="32"/>
        </w:rPr>
        <w:t>省道，东边为京藏高速公路，区域内队通队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队通村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村通乡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县道路四通八达，基础设施比较完善，交通条件便利。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潜在劳动岗位丰富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关渠村村域范围内与村域周边有众多产业园区，如宁夏伊利乳业有限责任公司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申能吴忠热力有限责任公司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吴忠仪表配套产业园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宁夏鼎盛阳光科技股份有限公司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宁夏法福来食品科技有限公司等，潜在劳动岗位丰富，为本村提供了一定的就业保障。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四、村庄发展问题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产业融合度低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近年来关渠村，商业虽然朝气蓬勃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成效明显，但总体来看基础偏弱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起点较低，商贸物流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住宿餐饮等领域发展质量不高，区域发展的集聚力和吸引力还不足，区域资源未完全形成合力和协同发展。从整体上看，产业融合度低。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未合理引导居民点集聚发展，保障用地需求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关渠村三队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七队分布较散，不利于基础设施和公共服务设施的布设，应引导集聚发展，提升土地利用率。保障交通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能源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通信等基础设施廊道，教育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绿化等公共基础设施的用地需求。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村内公共服务设施和基础设施配套不足，农宅封面缺乏特色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村内除村委会外，其他自然村缺乏小公园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广场，无法满足村民休闲娱乐的需求。村内排水设施不足，缺乏停车场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公共卫生间等。同时，农宅风貌整体缺乏活力，特色不足，识别度不高，需要统一规划和引导。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五、底线约束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耕地保有量：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吴忠市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国土空间规划中对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划定的耕地保有量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，关渠村耕地保有量为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永久基本农田：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严格衔接落实利通区“三区三线”划定成果，不做占用和调整，关渠村永久基本农田保护红线面积为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公顷，全部位于三队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七队。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城镇开发边界：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严格衔接落实利通区“三区三线”划定成果中对关渠村划定的城镇开发边界，关渠村城镇开发边界为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村庄建设边界：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规划划定关渠村村庄建设边界总面积为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六、居民点建设规划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规划关渠村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全村全拆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在三队北侧新建。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规划期内以新建居民点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完善村庄居民点内基础设施及公共服务设施为主。结合村庄产业发展，规划新建活动广场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公共卫生间等设施配套建设，满足村民实际需求。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新建公共服务设施：新建广场规模：活动广场用地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公顷。新建基础设施：公共卫生间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公顷。新建商业设施：商业设施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公顷。新建燃气调压站：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处占地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公顷。新建公园：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七、产业发展规划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为切实落实产业规划定位与发展策略，构建和打造关渠村特色产业，促进多产融合发展，推动社会经济快速发展，按照“资源节约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改善生态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保护耕地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提高效益”的原则，关渠村规划形成“一轴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区”的总体布局。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一轴：依托金积九路形成产业发展轴，带动产业发展。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区：传统农业种植区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蔬菜种植区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工业集聚区。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蔬菜种植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利用关渠村良好的区位因素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及现有资源发展蔬菜种植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带动村庄经济发展，占地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公顷。</w:t>
      </w:r>
    </w:p>
    <w:p>
      <w:pPr>
        <w:pStyle w:val="11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—传统种植区：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利用关渠村现有耕地发展传统种植，主要种植小麦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玉米，占地面积</w:t>
      </w:r>
      <w:r>
        <w:rPr>
          <w:rFonts w:hint="default" w:ascii="Times New Roman" w:hAnsi="Times New Roman" w:eastAsia="仿宋_GB2312" w:cs="Times New Roman"/>
          <w:b w:val="0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公顷。</w:t>
      </w:r>
    </w:p>
    <w:p>
      <w:pPr>
        <w:pStyle w:val="11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—工业集聚区：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关渠村村域内现有申能吴忠热电有限责任公司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宁夏琦盛电气有限公司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吴忠市巴比伦食品有限公司等众多工业企业，工业全部集聚于城镇开发边界内本次规划不落项目。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近期项目实施规划：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村庄近期重点建设项目主要包含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项，项目投资估算约为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16796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万元，其中：基础设施建设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万元，国土综合整治建设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万元，人居环境整治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10597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万元，产业规划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Theme="minorAscii" w:hAnsiTheme="minorAscii" w:eastAsiaTheme="minorEastAsia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2VmODhiYzVlYWQ5ZTEzN2U2MjEyOGI2YTgzMjYifQ=="/>
  </w:docVars>
  <w:rsids>
    <w:rsidRoot w:val="763001BF"/>
    <w:rsid w:val="4DE80C9C"/>
    <w:rsid w:val="59FFF500"/>
    <w:rsid w:val="6FF30008"/>
    <w:rsid w:val="7630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0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ind w:firstLine="0" w:firstLineChars="0"/>
      <w:outlineLvl w:val="3"/>
    </w:pPr>
    <w:rPr>
      <w:rFonts w:ascii="Arial" w:hAnsi="Arial" w:eastAsia="黑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1"/>
      <w:szCs w:val="20"/>
    </w:rPr>
  </w:style>
  <w:style w:type="paragraph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Times New Roman"/>
      <w:sz w:val="21"/>
      <w:szCs w:val="20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customStyle="1" w:styleId="11">
    <w:name w:val="表头题头"/>
    <w:basedOn w:val="1"/>
    <w:qFormat/>
    <w:uiPriority w:val="0"/>
    <w:pPr>
      <w:spacing w:line="240" w:lineRule="auto"/>
      <w:ind w:firstLine="0" w:firstLineChars="0"/>
      <w:jc w:val="center"/>
    </w:pPr>
    <w:rPr>
      <w:b/>
      <w:spacing w:val="-7"/>
      <w:sz w:val="24"/>
      <w:szCs w:val="28"/>
    </w:rPr>
  </w:style>
  <w:style w:type="paragraph" w:customStyle="1" w:styleId="12">
    <w:name w:val="表头图头"/>
    <w:basedOn w:val="1"/>
    <w:qFormat/>
    <w:uiPriority w:val="0"/>
    <w:pPr>
      <w:spacing w:line="240" w:lineRule="auto"/>
      <w:ind w:firstLine="0" w:firstLineChars="0"/>
      <w:jc w:val="center"/>
    </w:pPr>
    <w:rPr>
      <w:rFonts w:eastAsia="黑体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1727</Words>
  <Characters>1864</Characters>
  <Lines>0</Lines>
  <Paragraphs>0</Paragraphs>
  <TotalTime>3</TotalTime>
  <ScaleCrop>false</ScaleCrop>
  <LinksUpToDate>false</LinksUpToDate>
  <CharactersWithSpaces>1864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2023-11-13T17:00:00Z</dcterms:created>
  <dc:creator>韵</dc:creator>
  <cp:lastModifiedBy>Administrator</cp:lastModifiedBy>
  <dcterms:modified xsi:type="dcterms:W3CDTF">2023-11-21T06:55:17Z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906A5437380F4AD7A337BBD532DD02CA_11</vt:lpwstr>
  </property>
</Properties>
</file>