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320" w:firstLineChars="100"/>
        <w:textAlignment w:val="auto"/>
        <w:rPr>
          <w:rFonts w:eastAsia="仿宋_GB2312"/>
          <w:sz w:val="32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b/>
          <w:sz w:val="1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吴利政发〔</w:t>
      </w: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eastAsia="仿宋_GB2312" w:cs="Times New Roman"/>
          <w:sz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sz w:val="32"/>
        </w:rPr>
        <w:t xml:space="preserve">号  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签发人：</w:t>
      </w:r>
      <w:r>
        <w:rPr>
          <w:rFonts w:hint="eastAsia" w:ascii="楷体_GB2312" w:hAnsi="楷体" w:eastAsia="楷体_GB2312" w:cs="楷体_GB2312"/>
          <w:b/>
          <w:sz w:val="32"/>
          <w:lang w:eastAsia="zh-CN"/>
        </w:rPr>
        <w:t>宋</w:t>
      </w:r>
      <w:r>
        <w:rPr>
          <w:rFonts w:hint="eastAsia" w:ascii="楷体_GB2312" w:hAnsi="楷体" w:eastAsia="楷体_GB2312" w:cs="楷体_GB2312"/>
          <w:b/>
          <w:sz w:val="32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sz w:val="32"/>
          <w:lang w:eastAsia="zh-CN"/>
        </w:rPr>
        <w:t>喜</w:t>
      </w:r>
    </w:p>
    <w:p>
      <w:pPr>
        <w:spacing w:line="500" w:lineRule="exact"/>
        <w:rPr>
          <w:rFonts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10"/>
          <w:sz w:val="44"/>
          <w:szCs w:val="44"/>
        </w:rPr>
        <w:t>关于</w:t>
      </w:r>
      <w:r>
        <w:rPr>
          <w:rFonts w:hint="eastAsia" w:ascii="方正小标宋简体" w:hAnsi="方正小标宋_GBK" w:eastAsia="方正小标宋简体" w:cs="方正小标宋_GBK"/>
          <w:spacing w:val="-10"/>
          <w:sz w:val="44"/>
          <w:szCs w:val="44"/>
          <w:lang w:eastAsia="zh-CN"/>
        </w:rPr>
        <w:t>提请审议</w:t>
      </w:r>
      <w:r>
        <w:rPr>
          <w:rFonts w:hint="eastAsia" w:ascii="方正小标宋简体" w:hAnsi="方正小标宋_GBK" w:eastAsia="方正小标宋简体" w:cs="方正小标宋_GBK"/>
          <w:spacing w:val="-10"/>
          <w:sz w:val="44"/>
          <w:szCs w:val="44"/>
        </w:rPr>
        <w:t>《202</w:t>
      </w:r>
      <w:r>
        <w:rPr>
          <w:rFonts w:hint="eastAsia" w:ascii="方正小标宋简体" w:hAnsi="方正小标宋_GBK" w:eastAsia="方正小标宋简体" w:cs="方正小标宋_GBK"/>
          <w:spacing w:val="-1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_GBK" w:eastAsia="方正小标宋简体" w:cs="方正小标宋_GBK"/>
          <w:spacing w:val="-10"/>
          <w:sz w:val="44"/>
          <w:szCs w:val="44"/>
        </w:rPr>
        <w:t>年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利通区本级预算调整方案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（第三次）</w:t>
      </w:r>
      <w:r>
        <w:rPr>
          <w:rFonts w:hint="eastAsia" w:ascii="方正小标宋简体" w:hAnsi="方正小标宋_GBK" w:eastAsia="方正小标宋简体" w:cs="方正小标宋_GBK"/>
          <w:spacing w:val="-10"/>
          <w:sz w:val="44"/>
          <w:szCs w:val="44"/>
        </w:rPr>
        <w:t>》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的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议案</w:t>
      </w:r>
    </w:p>
    <w:p>
      <w:pPr>
        <w:tabs>
          <w:tab w:val="left" w:pos="360"/>
          <w:tab w:val="left" w:pos="900"/>
        </w:tabs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区人大常委会</w:t>
      </w:r>
      <w:r>
        <w:rPr>
          <w:rFonts w:eastAsia="仿宋_GB2312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5" w:leftChars="50"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根据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自治区财政厅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eastAsia="zh-CN"/>
        </w:rPr>
        <w:t>关于下达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年新增政府债券资金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eastAsia="zh-CN"/>
        </w:rPr>
        <w:t>指标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的通知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eastAsia="zh-CN"/>
        </w:rPr>
        <w:t>（第三批）》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eastAsia="zh-CN"/>
        </w:rPr>
        <w:t>（宁财（债）指标〔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val="en-US" w:eastAsia="zh-CN"/>
        </w:rPr>
        <w:t>2023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val="en-US" w:eastAsia="zh-CN"/>
        </w:rPr>
        <w:t>526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，下达我区202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年新增地方政府一般债券资金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val="en-US" w:eastAsia="zh-CN"/>
        </w:rPr>
        <w:t>270万元，专项用于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全区公路护栏提升行动（农村公路）项目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。按照《预算法》及相关规定，我区依照202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年政府债务限额，编制了《202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年利通区本级预算调整方案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eastAsia="zh-CN"/>
        </w:rPr>
        <w:t>（第三次）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eastAsia="zh-CN"/>
        </w:rPr>
        <w:t>。</w:t>
      </w:r>
      <w:r>
        <w:rPr>
          <w:rFonts w:hint="eastAsia" w:eastAsia="仿宋_GB2312"/>
          <w:bCs/>
          <w:color w:val="000000"/>
          <w:sz w:val="32"/>
        </w:rPr>
        <w:t>调整方案已经区政府</w:t>
      </w:r>
      <w:r>
        <w:rPr>
          <w:rFonts w:ascii="Times New Roman" w:hAnsi="Times New Roman" w:eastAsia="仿宋_GB2312"/>
          <w:bCs/>
          <w:color w:val="000000"/>
          <w:sz w:val="32"/>
        </w:rPr>
        <w:t>第</w:t>
      </w:r>
      <w:r>
        <w:rPr>
          <w:rFonts w:hint="eastAsia" w:ascii="Times New Roman" w:hAnsi="Times New Roman" w:eastAsia="仿宋_GB2312"/>
          <w:bCs/>
          <w:color w:val="000000"/>
          <w:sz w:val="32"/>
          <w:lang w:val="en-US" w:eastAsia="zh-CN"/>
        </w:rPr>
        <w:t>48</w:t>
      </w:r>
      <w:r>
        <w:rPr>
          <w:rFonts w:ascii="Times New Roman" w:hAnsi="Times New Roman" w:eastAsia="仿宋_GB2312"/>
          <w:bCs/>
          <w:color w:val="000000"/>
          <w:sz w:val="32"/>
        </w:rPr>
        <w:t>次常务会议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和</w:t>
      </w:r>
      <w:r>
        <w:rPr>
          <w:rFonts w:hint="eastAsia" w:ascii="Times New Roman" w:hAnsi="Times New Roman" w:eastAsia="仿宋_GB2312"/>
          <w:bCs/>
          <w:color w:val="000000"/>
          <w:sz w:val="32"/>
          <w:lang w:eastAsia="zh-CN"/>
        </w:rPr>
        <w:t>五届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区委</w:t>
      </w:r>
      <w:r>
        <w:rPr>
          <w:rFonts w:hint="eastAsia" w:ascii="Times New Roman" w:hAnsi="Times New Roman" w:eastAsia="仿宋_GB2312"/>
          <w:bCs/>
          <w:color w:val="000000"/>
          <w:sz w:val="32"/>
          <w:lang w:val="en-US" w:eastAsia="zh-CN"/>
        </w:rPr>
        <w:t>2023年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第</w:t>
      </w:r>
      <w:r>
        <w:rPr>
          <w:rFonts w:hint="eastAsia" w:ascii="Times New Roman" w:hAnsi="Times New Roman" w:eastAsia="仿宋_GB2312"/>
          <w:bCs/>
          <w:color w:val="000000"/>
          <w:sz w:val="32"/>
          <w:lang w:val="en-US" w:eastAsia="zh-CN"/>
        </w:rPr>
        <w:t>34</w:t>
      </w:r>
      <w:r>
        <w:rPr>
          <w:rFonts w:hint="eastAsia" w:ascii="Times New Roman" w:hAnsi="Times New Roman" w:eastAsia="仿宋_GB2312"/>
          <w:bCs/>
          <w:color w:val="000000"/>
          <w:sz w:val="32"/>
        </w:rPr>
        <w:t>次常委会议</w:t>
      </w:r>
      <w:r>
        <w:rPr>
          <w:rFonts w:ascii="Times New Roman" w:hAnsi="Times New Roman" w:eastAsia="仿宋_GB2312"/>
          <w:bCs/>
          <w:color w:val="000000"/>
          <w:sz w:val="32"/>
        </w:rPr>
        <w:t>研究通过，现呈报区人大常委会，请予以审议。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妥否，请批示。</w:t>
      </w:r>
    </w:p>
    <w:p>
      <w:pPr>
        <w:autoSpaceDE w:val="0"/>
        <w:spacing w:line="600" w:lineRule="exact"/>
        <w:rPr>
          <w:rFonts w:eastAsia="仿宋_GB2312"/>
          <w:sz w:val="32"/>
          <w:szCs w:val="32"/>
        </w:rPr>
      </w:pPr>
    </w:p>
    <w:p>
      <w:pPr>
        <w:autoSpaceDE w:val="0"/>
        <w:spacing w:line="600" w:lineRule="exact"/>
        <w:rPr>
          <w:rFonts w:eastAsia="仿宋_GB2312"/>
          <w:sz w:val="32"/>
          <w:szCs w:val="32"/>
        </w:rPr>
      </w:pPr>
    </w:p>
    <w:p>
      <w:pPr>
        <w:autoSpaceDE w:val="0"/>
        <w:spacing w:line="600" w:lineRule="exact"/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吴忠市利通区人民政府</w:t>
      </w:r>
    </w:p>
    <w:p>
      <w:pPr>
        <w:tabs>
          <w:tab w:val="left" w:pos="7380"/>
          <w:tab w:val="left" w:pos="7560"/>
        </w:tabs>
        <w:autoSpaceDE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eastAsia="仿宋_GB2312"/>
          <w:sz w:val="32"/>
          <w:szCs w:val="32"/>
        </w:rPr>
        <w:t>日</w:t>
      </w:r>
    </w:p>
    <w:p>
      <w:pPr>
        <w:tabs>
          <w:tab w:val="left" w:pos="7380"/>
          <w:tab w:val="left" w:pos="7560"/>
        </w:tabs>
        <w:autoSpaceDE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</w:rPr>
        <w:t>依申请</w:t>
      </w:r>
      <w:r>
        <w:rPr>
          <w:rFonts w:eastAsia="仿宋_GB2312"/>
          <w:sz w:val="32"/>
          <w:szCs w:val="32"/>
        </w:rPr>
        <w:t>公开）</w:t>
      </w:r>
    </w:p>
    <w:p>
      <w:pPr>
        <w:tabs>
          <w:tab w:val="left" w:pos="7380"/>
          <w:tab w:val="left" w:pos="7560"/>
        </w:tabs>
        <w:autoSpaceDE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560"/>
        </w:tabs>
        <w:autoSpaceDE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560"/>
        </w:tabs>
        <w:autoSpaceDE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560"/>
        </w:tabs>
        <w:autoSpaceDE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560"/>
        </w:tabs>
        <w:autoSpaceDE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560"/>
        </w:tabs>
        <w:autoSpaceDE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560"/>
        </w:tabs>
        <w:autoSpaceDE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560"/>
        </w:tabs>
        <w:autoSpaceDE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560"/>
        </w:tabs>
        <w:autoSpaceDE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560"/>
        </w:tabs>
        <w:autoSpaceDE w:val="0"/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eastAsia="仿宋_GB2312"/>
        </w:rPr>
        <w:pict>
          <v:line id="直线 11" o:spid="_x0000_s1032" o:spt="20" style="position:absolute;left:0pt;flip:y;margin-left:0pt;margin-top:4.9pt;height:0.15pt;width:441pt;z-index:-251654144;mso-width-relative:page;mso-height-relative:page;" o:preferrelative="t" coordsize="21600,21600">
            <v:path arrowok="t"/>
            <v:fill focussize="0,0"/>
            <v:stroke weight="0.992755905511811pt" miterlimit="2"/>
            <v:imagedata o:title=""/>
            <o:lock v:ext="edit"/>
          </v:line>
        </w:pict>
      </w:r>
      <w:r>
        <w:rPr>
          <w:rFonts w:eastAsia="仿宋_GB2312"/>
        </w:rPr>
        <w:pict>
          <v:line id="直线 4" o:spid="_x0000_s1033" o:spt="20" style="position:absolute;left:0pt;flip:y;margin-left:0pt;margin-top:29.5pt;height:0.05pt;width:441pt;z-index:-251653120;mso-width-relative:page;mso-height-relative:page;" o:preferrelative="t" coordsize="21600,21600">
            <v:path arrowok="t"/>
            <v:fill focussize="0,0"/>
            <v:stroke weight="0.992755905511811pt" miterlimit="2"/>
            <v:imagedata o:title=""/>
            <o:lock v:ext="edit"/>
          </v:line>
        </w:pict>
      </w:r>
      <w:r>
        <w:rPr>
          <w:rFonts w:eastAsia="仿宋_GB2312"/>
          <w:color w:val="000000"/>
          <w:sz w:val="28"/>
          <w:szCs w:val="28"/>
        </w:rPr>
        <w:t>吴忠市利通区人民政府办公室</w:t>
      </w:r>
      <w:r>
        <w:rPr>
          <w:rFonts w:hint="eastAsia" w:eastAsia="仿宋_GB2312"/>
          <w:color w:val="000000"/>
          <w:sz w:val="28"/>
          <w:szCs w:val="28"/>
        </w:rPr>
        <w:t xml:space="preserve">               </w:t>
      </w:r>
      <w:r>
        <w:rPr>
          <w:rFonts w:eastAsia="仿宋_GB2312"/>
          <w:color w:val="000000"/>
          <w:sz w:val="28"/>
          <w:szCs w:val="28"/>
        </w:rPr>
        <w:t>20</w:t>
      </w:r>
      <w:r>
        <w:rPr>
          <w:rFonts w:hint="eastAsia" w:eastAsia="仿宋_GB2312"/>
          <w:color w:val="000000"/>
          <w:sz w:val="28"/>
          <w:szCs w:val="28"/>
        </w:rPr>
        <w:t>2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11月16</w:t>
      </w:r>
      <w:r>
        <w:rPr>
          <w:rFonts w:eastAsia="仿宋_GB2312"/>
          <w:color w:val="000000"/>
          <w:sz w:val="28"/>
          <w:szCs w:val="28"/>
        </w:rPr>
        <w:t>日印发</w:t>
      </w: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pict>
          <v:shape id="_x0000_s1036" o:spid="_x0000_s1036" o:spt="202" type="#_x0000_t202" style="position:absolute;left:0pt;margin-left:-17.9pt;margin-top:-62.15pt;height:36pt;width:66.55pt;z-index:251666432;mso-width-relative:margin;mso-height-relative:margin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年利通区本级预算调整方案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次）</w:t>
      </w:r>
    </w:p>
    <w:p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自治区财政厅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eastAsia="zh-CN"/>
        </w:rPr>
        <w:t>关于下达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202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年新增政府债券资金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eastAsia="zh-CN"/>
        </w:rPr>
        <w:t>指标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的通知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eastAsia="zh-CN"/>
        </w:rPr>
        <w:t>（第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eastAsia="zh-CN"/>
        </w:rPr>
        <w:t>批）》（宁财（债）指标〔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val="en-US" w:eastAsia="zh-CN"/>
        </w:rPr>
        <w:t>526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，下达我区202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年新增地方政府一般债券资金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lang w:val="en-US" w:eastAsia="zh-CN"/>
        </w:rPr>
        <w:t>270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算法》及相关规定，现制定202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年利通区本级预算调整方案如下：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年底，经自治区人民政府批准，自治区财政厅核定我区202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年政府债务限额为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276533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万元，其中：一般债务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243841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万元，专项债务32692万元。202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年底，我区政府债务余额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247135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万元，其中：一般债务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222926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万元，专项债务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24209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万元，均在债务限额范围内。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年，自治区下达我区新增政府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17270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一般债务限额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根据预算法要求，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债务收支纳入预算管理。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此次自治区财政厅下达我区新增政府债券资金相应增加我区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债务限额。本次新增债务后，区本级政府债务余额为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254621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万元，其中：一般债务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239245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万元，专项债务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15376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二、新增债券项目安排情况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此次新增一般债券资金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专项用于全区公路护栏提升行动（农村公路）项目。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三、预算调整情况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</w:rPr>
        <w:t>（一）一般公共预算</w:t>
      </w: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收入</w:t>
      </w:r>
      <w:r>
        <w:rPr>
          <w:rFonts w:hint="default" w:ascii="Times New Roman" w:hAnsi="Times New Roman" w:eastAsia="楷体_GB2312" w:cs="Times New Roman"/>
          <w:b/>
          <w:bCs/>
          <w:sz w:val="32"/>
        </w:rPr>
        <w:t>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年利通区</w:t>
      </w:r>
      <w:r>
        <w:rPr>
          <w:rFonts w:hint="default" w:ascii="Times New Roman" w:hAnsi="Times New Roman" w:eastAsia="仿宋_GB2312" w:cs="Times New Roman"/>
          <w:bCs/>
          <w:sz w:val="32"/>
        </w:rPr>
        <w:t>一般公共预算全口径收入为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166032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万元，其中：一般公共预算收入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39500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万元，返还性收入8309万元，一般性转移支付收入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71884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万元，专项转移支付收入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15547万元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地方政府一般债券转贷收入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动用预算稳定调节基金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1692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调整后：202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年利通区</w:t>
      </w:r>
      <w:r>
        <w:rPr>
          <w:rFonts w:hint="default" w:ascii="Times New Roman" w:hAnsi="Times New Roman" w:eastAsia="仿宋_GB2312" w:cs="Times New Roman"/>
          <w:bCs/>
          <w:sz w:val="32"/>
        </w:rPr>
        <w:t>一般公共预算全口径收入为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166302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万元，其中：一般公共预算收入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39500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万元，返还性收入8309万元，一般性转移支付收入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71884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万元，专项转移支付收入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15547万元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地方政府一般债券转贷收入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29370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动用预算稳定调节基金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1692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</w:rPr>
        <w:t>一般公共预算支出调整情况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年利通区</w:t>
      </w:r>
      <w:r>
        <w:rPr>
          <w:rFonts w:hint="default" w:ascii="Times New Roman" w:hAnsi="Times New Roman" w:eastAsia="仿宋_GB2312" w:cs="Times New Roman"/>
          <w:bCs/>
          <w:sz w:val="32"/>
        </w:rPr>
        <w:t>一般公共预算全口径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bCs/>
          <w:sz w:val="32"/>
        </w:rPr>
        <w:t>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166032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万元，其中：一般公共预算支出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153932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地方政府一般债券还本支出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调整后：</w:t>
      </w:r>
      <w:r>
        <w:rPr>
          <w:rFonts w:hint="default" w:ascii="Times New Roman" w:hAnsi="Times New Roman" w:eastAsia="仿宋_GB2312" w:cs="Times New Roman"/>
          <w:bCs/>
          <w:sz w:val="32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利通区</w:t>
      </w:r>
      <w:r>
        <w:rPr>
          <w:rFonts w:hint="default" w:ascii="Times New Roman" w:hAnsi="Times New Roman" w:eastAsia="仿宋_GB2312" w:cs="Times New Roman"/>
          <w:bCs/>
          <w:sz w:val="32"/>
        </w:rPr>
        <w:t>一般公共预算全口径支出为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166302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万元，其中：一般公共预算支出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54202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地方政府一般债券还本支出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00万元。</w:t>
      </w:r>
    </w:p>
    <w:p>
      <w:pPr>
        <w:pStyle w:val="4"/>
        <w:numPr>
          <w:ilvl w:val="0"/>
          <w:numId w:val="0"/>
        </w:numPr>
        <w:spacing w:line="576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sz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利通区本级财政202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年一般公共预算收支调整表</w:t>
      </w:r>
    </w:p>
    <w:sectPr>
      <w:footerReference r:id="rId3" w:type="default"/>
      <w:pgSz w:w="11906" w:h="16838"/>
      <w:pgMar w:top="1985" w:right="1474" w:bottom="1701" w:left="1588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5 -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A0284"/>
    <w:multiLevelType w:val="multilevel"/>
    <w:tmpl w:val="565A028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0C6FAA"/>
    <w:rsid w:val="00015FA2"/>
    <w:rsid w:val="00022A5A"/>
    <w:rsid w:val="0004368C"/>
    <w:rsid w:val="00061B1F"/>
    <w:rsid w:val="00074973"/>
    <w:rsid w:val="00082D86"/>
    <w:rsid w:val="000A6CCD"/>
    <w:rsid w:val="000D02AC"/>
    <w:rsid w:val="000E0AED"/>
    <w:rsid w:val="000E5BCC"/>
    <w:rsid w:val="000F3258"/>
    <w:rsid w:val="0010124E"/>
    <w:rsid w:val="00104B69"/>
    <w:rsid w:val="00113EA6"/>
    <w:rsid w:val="0014175A"/>
    <w:rsid w:val="001446FA"/>
    <w:rsid w:val="00147C4B"/>
    <w:rsid w:val="00150713"/>
    <w:rsid w:val="0016462A"/>
    <w:rsid w:val="00170A0C"/>
    <w:rsid w:val="00177402"/>
    <w:rsid w:val="001A04A1"/>
    <w:rsid w:val="001A67DD"/>
    <w:rsid w:val="001A7AA4"/>
    <w:rsid w:val="001C2BE9"/>
    <w:rsid w:val="001F545A"/>
    <w:rsid w:val="00207D4B"/>
    <w:rsid w:val="00233F7D"/>
    <w:rsid w:val="00237F9C"/>
    <w:rsid w:val="00261989"/>
    <w:rsid w:val="00264412"/>
    <w:rsid w:val="00273A59"/>
    <w:rsid w:val="00276F89"/>
    <w:rsid w:val="00290722"/>
    <w:rsid w:val="00290C1C"/>
    <w:rsid w:val="002963FA"/>
    <w:rsid w:val="0029704F"/>
    <w:rsid w:val="00297AF2"/>
    <w:rsid w:val="002B16FE"/>
    <w:rsid w:val="002E1127"/>
    <w:rsid w:val="002E6685"/>
    <w:rsid w:val="003114A1"/>
    <w:rsid w:val="0035062C"/>
    <w:rsid w:val="00355BDA"/>
    <w:rsid w:val="0035787F"/>
    <w:rsid w:val="00374D22"/>
    <w:rsid w:val="003778E9"/>
    <w:rsid w:val="003A7E40"/>
    <w:rsid w:val="003C0802"/>
    <w:rsid w:val="003C5743"/>
    <w:rsid w:val="003F656F"/>
    <w:rsid w:val="003F7A20"/>
    <w:rsid w:val="00417DD7"/>
    <w:rsid w:val="004272B2"/>
    <w:rsid w:val="0043103E"/>
    <w:rsid w:val="00454969"/>
    <w:rsid w:val="0046517F"/>
    <w:rsid w:val="00490C8F"/>
    <w:rsid w:val="004A181F"/>
    <w:rsid w:val="004A4097"/>
    <w:rsid w:val="004C376C"/>
    <w:rsid w:val="004F2BF1"/>
    <w:rsid w:val="005112ED"/>
    <w:rsid w:val="00532997"/>
    <w:rsid w:val="005366C9"/>
    <w:rsid w:val="005447F4"/>
    <w:rsid w:val="00552B80"/>
    <w:rsid w:val="00554895"/>
    <w:rsid w:val="00575859"/>
    <w:rsid w:val="0058695D"/>
    <w:rsid w:val="005A4B95"/>
    <w:rsid w:val="005A7896"/>
    <w:rsid w:val="005B2B17"/>
    <w:rsid w:val="005B6962"/>
    <w:rsid w:val="005D1C0F"/>
    <w:rsid w:val="005E2FD7"/>
    <w:rsid w:val="005F4E12"/>
    <w:rsid w:val="005F7243"/>
    <w:rsid w:val="00602690"/>
    <w:rsid w:val="00621CC8"/>
    <w:rsid w:val="006547E3"/>
    <w:rsid w:val="00660825"/>
    <w:rsid w:val="00660ACC"/>
    <w:rsid w:val="00666A4D"/>
    <w:rsid w:val="006833AC"/>
    <w:rsid w:val="00693739"/>
    <w:rsid w:val="006A74D2"/>
    <w:rsid w:val="006B3076"/>
    <w:rsid w:val="006C4C74"/>
    <w:rsid w:val="006E2F55"/>
    <w:rsid w:val="006F5F34"/>
    <w:rsid w:val="007179BB"/>
    <w:rsid w:val="00722F89"/>
    <w:rsid w:val="0072492C"/>
    <w:rsid w:val="0073021E"/>
    <w:rsid w:val="00731DE1"/>
    <w:rsid w:val="0074265E"/>
    <w:rsid w:val="00755098"/>
    <w:rsid w:val="00761BD0"/>
    <w:rsid w:val="00764F53"/>
    <w:rsid w:val="007918E1"/>
    <w:rsid w:val="007A0985"/>
    <w:rsid w:val="007A57A1"/>
    <w:rsid w:val="007C75B9"/>
    <w:rsid w:val="007E0FE8"/>
    <w:rsid w:val="007E3FD7"/>
    <w:rsid w:val="007E41EB"/>
    <w:rsid w:val="007E5E32"/>
    <w:rsid w:val="007E6EFF"/>
    <w:rsid w:val="008055CF"/>
    <w:rsid w:val="00812A19"/>
    <w:rsid w:val="00815BC1"/>
    <w:rsid w:val="00816E83"/>
    <w:rsid w:val="00827583"/>
    <w:rsid w:val="00827BFE"/>
    <w:rsid w:val="00827DC5"/>
    <w:rsid w:val="00833857"/>
    <w:rsid w:val="008342F8"/>
    <w:rsid w:val="008351FA"/>
    <w:rsid w:val="008474F2"/>
    <w:rsid w:val="00884424"/>
    <w:rsid w:val="00886D1D"/>
    <w:rsid w:val="00896B66"/>
    <w:rsid w:val="008B103B"/>
    <w:rsid w:val="008D05D3"/>
    <w:rsid w:val="008E7AC6"/>
    <w:rsid w:val="008F25F2"/>
    <w:rsid w:val="00905828"/>
    <w:rsid w:val="00907296"/>
    <w:rsid w:val="00912522"/>
    <w:rsid w:val="00920B7D"/>
    <w:rsid w:val="00930B9C"/>
    <w:rsid w:val="009321C0"/>
    <w:rsid w:val="00935A38"/>
    <w:rsid w:val="00991953"/>
    <w:rsid w:val="00991BC9"/>
    <w:rsid w:val="00993ADC"/>
    <w:rsid w:val="009B4943"/>
    <w:rsid w:val="009D27BF"/>
    <w:rsid w:val="009D600A"/>
    <w:rsid w:val="009E6575"/>
    <w:rsid w:val="009E74B0"/>
    <w:rsid w:val="009F47E9"/>
    <w:rsid w:val="009F7AEF"/>
    <w:rsid w:val="00A40B14"/>
    <w:rsid w:val="00A62D3F"/>
    <w:rsid w:val="00A81194"/>
    <w:rsid w:val="00A81973"/>
    <w:rsid w:val="00A87740"/>
    <w:rsid w:val="00A919AB"/>
    <w:rsid w:val="00A920AF"/>
    <w:rsid w:val="00A95F3B"/>
    <w:rsid w:val="00A965EA"/>
    <w:rsid w:val="00A978F6"/>
    <w:rsid w:val="00AA012B"/>
    <w:rsid w:val="00AA2DB1"/>
    <w:rsid w:val="00AB298E"/>
    <w:rsid w:val="00AC69CC"/>
    <w:rsid w:val="00AD39F8"/>
    <w:rsid w:val="00AD61ED"/>
    <w:rsid w:val="00AE04C3"/>
    <w:rsid w:val="00AE1D7A"/>
    <w:rsid w:val="00AF5D50"/>
    <w:rsid w:val="00B067D0"/>
    <w:rsid w:val="00B06D98"/>
    <w:rsid w:val="00B07886"/>
    <w:rsid w:val="00B1182E"/>
    <w:rsid w:val="00B24F31"/>
    <w:rsid w:val="00B26DFA"/>
    <w:rsid w:val="00B40F38"/>
    <w:rsid w:val="00B44917"/>
    <w:rsid w:val="00B54AD7"/>
    <w:rsid w:val="00B7097E"/>
    <w:rsid w:val="00B80C44"/>
    <w:rsid w:val="00BB79A3"/>
    <w:rsid w:val="00BC0EB0"/>
    <w:rsid w:val="00BD775B"/>
    <w:rsid w:val="00C3718F"/>
    <w:rsid w:val="00C4331C"/>
    <w:rsid w:val="00C4598E"/>
    <w:rsid w:val="00C61585"/>
    <w:rsid w:val="00C61A14"/>
    <w:rsid w:val="00C725DE"/>
    <w:rsid w:val="00C80769"/>
    <w:rsid w:val="00C956A0"/>
    <w:rsid w:val="00CB550C"/>
    <w:rsid w:val="00CC7A32"/>
    <w:rsid w:val="00CD258C"/>
    <w:rsid w:val="00CD3F16"/>
    <w:rsid w:val="00CE43A4"/>
    <w:rsid w:val="00CF76BC"/>
    <w:rsid w:val="00D01F4A"/>
    <w:rsid w:val="00D10953"/>
    <w:rsid w:val="00D21795"/>
    <w:rsid w:val="00D25856"/>
    <w:rsid w:val="00D25E9A"/>
    <w:rsid w:val="00D305BE"/>
    <w:rsid w:val="00D72141"/>
    <w:rsid w:val="00D7298B"/>
    <w:rsid w:val="00D833F6"/>
    <w:rsid w:val="00DC31AA"/>
    <w:rsid w:val="00DF1FAC"/>
    <w:rsid w:val="00DF28A9"/>
    <w:rsid w:val="00E15179"/>
    <w:rsid w:val="00E6246E"/>
    <w:rsid w:val="00E6546E"/>
    <w:rsid w:val="00E728C6"/>
    <w:rsid w:val="00E80A62"/>
    <w:rsid w:val="00E91CB6"/>
    <w:rsid w:val="00EA23AE"/>
    <w:rsid w:val="00EC3B49"/>
    <w:rsid w:val="00EC66F7"/>
    <w:rsid w:val="00EF1C1E"/>
    <w:rsid w:val="00EF39BD"/>
    <w:rsid w:val="00EF4A13"/>
    <w:rsid w:val="00F15B5E"/>
    <w:rsid w:val="00F632BE"/>
    <w:rsid w:val="00F70BE0"/>
    <w:rsid w:val="00F81980"/>
    <w:rsid w:val="00F870FD"/>
    <w:rsid w:val="00F87447"/>
    <w:rsid w:val="00FC6AA2"/>
    <w:rsid w:val="00FD1B62"/>
    <w:rsid w:val="00FD42AB"/>
    <w:rsid w:val="010C6FAA"/>
    <w:rsid w:val="03FECCCE"/>
    <w:rsid w:val="06F74074"/>
    <w:rsid w:val="08FC1D1B"/>
    <w:rsid w:val="09FD2B20"/>
    <w:rsid w:val="0FFF15C0"/>
    <w:rsid w:val="134B250E"/>
    <w:rsid w:val="1667F4E2"/>
    <w:rsid w:val="18A729A7"/>
    <w:rsid w:val="1ED9B404"/>
    <w:rsid w:val="1FFBBF3D"/>
    <w:rsid w:val="1FFEC34E"/>
    <w:rsid w:val="27E93E6E"/>
    <w:rsid w:val="2DFF051A"/>
    <w:rsid w:val="2ED3663E"/>
    <w:rsid w:val="2EF760C7"/>
    <w:rsid w:val="2F3E9F3F"/>
    <w:rsid w:val="2F77D699"/>
    <w:rsid w:val="303FC502"/>
    <w:rsid w:val="33FFBA29"/>
    <w:rsid w:val="37F59C77"/>
    <w:rsid w:val="390B2ED3"/>
    <w:rsid w:val="39BF14E3"/>
    <w:rsid w:val="3A3F82ED"/>
    <w:rsid w:val="3BEC5EF0"/>
    <w:rsid w:val="3DECF8F4"/>
    <w:rsid w:val="3DFDA5F5"/>
    <w:rsid w:val="3ECFD1E8"/>
    <w:rsid w:val="3F6E96CE"/>
    <w:rsid w:val="3FBF1B98"/>
    <w:rsid w:val="434A531E"/>
    <w:rsid w:val="45EB10DF"/>
    <w:rsid w:val="51FED7AB"/>
    <w:rsid w:val="5652B4FF"/>
    <w:rsid w:val="593FFD40"/>
    <w:rsid w:val="5BD462C2"/>
    <w:rsid w:val="5EF26012"/>
    <w:rsid w:val="5EF3D854"/>
    <w:rsid w:val="5EFA7CCD"/>
    <w:rsid w:val="5F77991E"/>
    <w:rsid w:val="5FD7BF94"/>
    <w:rsid w:val="5FE7AA81"/>
    <w:rsid w:val="5FEBA9F1"/>
    <w:rsid w:val="5FEE13C4"/>
    <w:rsid w:val="5FFF7712"/>
    <w:rsid w:val="67270DD6"/>
    <w:rsid w:val="67AFFBF7"/>
    <w:rsid w:val="67F6EAE6"/>
    <w:rsid w:val="67FBF9DC"/>
    <w:rsid w:val="695EA456"/>
    <w:rsid w:val="69AF40B7"/>
    <w:rsid w:val="69DDB530"/>
    <w:rsid w:val="6A57FB0A"/>
    <w:rsid w:val="6BED9D37"/>
    <w:rsid w:val="6D592F7D"/>
    <w:rsid w:val="6E9E60CA"/>
    <w:rsid w:val="6EDD443F"/>
    <w:rsid w:val="6EFF81E0"/>
    <w:rsid w:val="6F585AD2"/>
    <w:rsid w:val="6FBB27F8"/>
    <w:rsid w:val="6FF93F30"/>
    <w:rsid w:val="6FFF438D"/>
    <w:rsid w:val="73BF2493"/>
    <w:rsid w:val="757DE146"/>
    <w:rsid w:val="75CFAECE"/>
    <w:rsid w:val="75FFF649"/>
    <w:rsid w:val="77F5265A"/>
    <w:rsid w:val="799691F5"/>
    <w:rsid w:val="79E284C2"/>
    <w:rsid w:val="7A47AC5E"/>
    <w:rsid w:val="7BB6E75C"/>
    <w:rsid w:val="7BDFD167"/>
    <w:rsid w:val="7BFD5C4E"/>
    <w:rsid w:val="7CBC2B98"/>
    <w:rsid w:val="7CF7F56F"/>
    <w:rsid w:val="7D7F0B34"/>
    <w:rsid w:val="7DFEE180"/>
    <w:rsid w:val="7DFF746C"/>
    <w:rsid w:val="7EDF0A56"/>
    <w:rsid w:val="7EEF2291"/>
    <w:rsid w:val="7EFB08B6"/>
    <w:rsid w:val="7EFEE768"/>
    <w:rsid w:val="7F3DE53F"/>
    <w:rsid w:val="7F665F57"/>
    <w:rsid w:val="7F7D58EC"/>
    <w:rsid w:val="7FBF2C7C"/>
    <w:rsid w:val="7FE78F81"/>
    <w:rsid w:val="7FF77D0F"/>
    <w:rsid w:val="7FFF68E7"/>
    <w:rsid w:val="7FFF6A77"/>
    <w:rsid w:val="7FFF7DA5"/>
    <w:rsid w:val="7FFFDA12"/>
    <w:rsid w:val="7FFFE8CD"/>
    <w:rsid w:val="9BBC1EB3"/>
    <w:rsid w:val="9D4B5CFF"/>
    <w:rsid w:val="A69DE499"/>
    <w:rsid w:val="A6FB45EF"/>
    <w:rsid w:val="ABF7469D"/>
    <w:rsid w:val="AF913C53"/>
    <w:rsid w:val="AFED97A3"/>
    <w:rsid w:val="B061BD97"/>
    <w:rsid w:val="B3FF3975"/>
    <w:rsid w:val="B53EEFC9"/>
    <w:rsid w:val="B6FFDA26"/>
    <w:rsid w:val="B7FE76DB"/>
    <w:rsid w:val="B93F9C41"/>
    <w:rsid w:val="BA7B23C6"/>
    <w:rsid w:val="BABDBEB3"/>
    <w:rsid w:val="BDFB158B"/>
    <w:rsid w:val="BEFFF2B3"/>
    <w:rsid w:val="BF7F6990"/>
    <w:rsid w:val="BFBE67C0"/>
    <w:rsid w:val="BFFF7246"/>
    <w:rsid w:val="CBEE4048"/>
    <w:rsid w:val="CFB7798E"/>
    <w:rsid w:val="D57E1A09"/>
    <w:rsid w:val="D7BBA919"/>
    <w:rsid w:val="D8BD6B02"/>
    <w:rsid w:val="DBEB84CE"/>
    <w:rsid w:val="DBFA506C"/>
    <w:rsid w:val="DEFFDCBA"/>
    <w:rsid w:val="DF7DC16C"/>
    <w:rsid w:val="DFBA51F4"/>
    <w:rsid w:val="DFF7E9E8"/>
    <w:rsid w:val="DFFE872C"/>
    <w:rsid w:val="E1DB2A33"/>
    <w:rsid w:val="E3395323"/>
    <w:rsid w:val="E4BE63B1"/>
    <w:rsid w:val="E7FB30FC"/>
    <w:rsid w:val="E9F71EFB"/>
    <w:rsid w:val="EAFD6DA8"/>
    <w:rsid w:val="EEC77060"/>
    <w:rsid w:val="EEFDBD6A"/>
    <w:rsid w:val="EF6E9D4A"/>
    <w:rsid w:val="EF7BF160"/>
    <w:rsid w:val="EF7FAFD0"/>
    <w:rsid w:val="EF979D2B"/>
    <w:rsid w:val="EF9F1F1A"/>
    <w:rsid w:val="F29BC137"/>
    <w:rsid w:val="F3CF3792"/>
    <w:rsid w:val="F3EB0305"/>
    <w:rsid w:val="F5FFDD2E"/>
    <w:rsid w:val="F737184A"/>
    <w:rsid w:val="F7693F69"/>
    <w:rsid w:val="F7BF9D57"/>
    <w:rsid w:val="F7C6513A"/>
    <w:rsid w:val="F87F7EBB"/>
    <w:rsid w:val="F8FB9B36"/>
    <w:rsid w:val="FBBF23BC"/>
    <w:rsid w:val="FDB7AFF4"/>
    <w:rsid w:val="FDCF5DCE"/>
    <w:rsid w:val="FDEB4168"/>
    <w:rsid w:val="FDFEF9B2"/>
    <w:rsid w:val="FE734873"/>
    <w:rsid w:val="FECFDB3D"/>
    <w:rsid w:val="FEEF5C50"/>
    <w:rsid w:val="FF562BB3"/>
    <w:rsid w:val="FF9D9508"/>
    <w:rsid w:val="FFAB9E26"/>
    <w:rsid w:val="FFC5EBB8"/>
    <w:rsid w:val="FFDCE82C"/>
    <w:rsid w:val="FFDF04F8"/>
    <w:rsid w:val="FFEBEFE9"/>
    <w:rsid w:val="FFF75F38"/>
    <w:rsid w:val="FFFBC482"/>
    <w:rsid w:val="FFFD3237"/>
    <w:rsid w:val="FFFEE5A1"/>
    <w:rsid w:val="FFFF8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qFormat/>
    <w:uiPriority w:val="0"/>
    <w:pPr>
      <w:widowControl w:val="0"/>
      <w:spacing w:beforeLines="100" w:line="276" w:lineRule="auto"/>
      <w:ind w:left="210" w:right="210" w:firstLine="600"/>
      <w:contextualSpacing/>
      <w:jc w:val="both"/>
    </w:pPr>
    <w:rPr>
      <w:rFonts w:ascii="微软雅黑" w:hAnsi="微软雅黑" w:eastAsia="微软雅黑" w:cs="Times New Roman"/>
      <w:color w:val="000000"/>
      <w:kern w:val="2"/>
      <w:sz w:val="24"/>
      <w:szCs w:val="21"/>
      <w:lang w:val="en-US" w:eastAsia="zh-CN" w:bidi="ar-SA"/>
    </w:rPr>
  </w:style>
  <w:style w:type="paragraph" w:styleId="3">
    <w:name w:val="Body Text"/>
    <w:basedOn w:val="1"/>
    <w:link w:val="16"/>
    <w:qFormat/>
    <w:uiPriority w:val="0"/>
    <w:pPr>
      <w:jc w:val="center"/>
    </w:pPr>
    <w:rPr>
      <w:rFonts w:ascii="Calibri" w:hAnsi="Calibri" w:eastAsia="方正小标宋简体"/>
      <w:sz w:val="44"/>
      <w:szCs w:val="20"/>
    </w:rPr>
  </w:style>
  <w:style w:type="paragraph" w:styleId="4">
    <w:name w:val="Plain Text"/>
    <w:basedOn w:val="1"/>
    <w:link w:val="12"/>
    <w:qFormat/>
    <w:uiPriority w:val="0"/>
    <w:rPr>
      <w:rFonts w:ascii="宋体" w:hAnsi="Courier New"/>
      <w:kern w:val="0"/>
      <w:sz w:val="20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纯文本 Char"/>
    <w:link w:val="4"/>
    <w:qFormat/>
    <w:uiPriority w:val="0"/>
    <w:rPr>
      <w:rFonts w:ascii="宋体" w:hAnsi="Courier New"/>
      <w:szCs w:val="21"/>
    </w:rPr>
  </w:style>
  <w:style w:type="character" w:customStyle="1" w:styleId="13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 Char"/>
    <w:basedOn w:val="9"/>
    <w:link w:val="3"/>
    <w:qFormat/>
    <w:uiPriority w:val="0"/>
    <w:rPr>
      <w:rFonts w:ascii="Calibri" w:hAnsi="Calibri" w:eastAsia="方正小标宋简体"/>
      <w:kern w:val="2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</Words>
  <Characters>1577</Characters>
  <Lines>13</Lines>
  <Paragraphs>3</Paragraphs>
  <TotalTime>31</TotalTime>
  <ScaleCrop>false</ScaleCrop>
  <LinksUpToDate>false</LinksUpToDate>
  <CharactersWithSpaces>1850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2020-09-04T19:35:00Z</dcterms:created>
  <dc:creator>Administrator</dc:creator>
  <cp:lastModifiedBy>hxl</cp:lastModifiedBy>
  <cp:lastPrinted>2023-12-19T16:02:55Z</cp:lastPrinted>
  <dcterms:modified xsi:type="dcterms:W3CDTF">2023-12-19T16:28:08Z</dcterms:modified>
  <dc:title>吴利政发〔2019〕57 号                 签发人：李玉山</dc:title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