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年利通区本级预算调整方案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（第三次）</w:t>
      </w:r>
    </w:p>
    <w:p>
      <w:pPr>
        <w:spacing w:line="576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根据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自治区财政厅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关于下达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202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年新增政府债券资金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指标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的通知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（第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批）》（宁财（债）指标〔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452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分配利通区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202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年新增地方政府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eastAsia="zh-CN"/>
        </w:rPr>
        <w:t>专项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债券资金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8441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根据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自治区财政厅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关于下达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202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年新增政府债券资金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指标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的通知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（第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批）》（宁财（债）指标〔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487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eastAsia="zh-CN"/>
        </w:rPr>
        <w:t>分配利通区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新增地方政府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eastAsia="zh-CN"/>
        </w:rPr>
        <w:t>债券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20582万元，其中：一般债券2982万元、专项债券17600万元；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根据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自治区财政厅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关于下达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202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年新增政府债券资金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指标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的通知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（第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批）》（宁财（债）指标〔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517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分配利通区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新增地方政府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eastAsia="zh-CN"/>
        </w:rPr>
        <w:t>专项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债券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5243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；根据《宁夏回族自治区跨县域补充耕地指标交易管理暂行办法》（宁自然资发〔2021〕215号）规定，利通区新增耕地占补平衡指标转让收入582万元。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按照《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中华人民共和国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预算法》及相关规定，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现制定202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年利通区本级预算调整方案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  <w:lang w:eastAsia="zh-CN"/>
        </w:rPr>
        <w:t>（第</w:t>
      </w:r>
      <w:r>
        <w:rPr>
          <w:rFonts w:hint="eastAsia" w:ascii="Times New Roman" w:hAnsi="Times New Roman" w:eastAsia="仿宋_GB2312" w:cs="Times New Roman"/>
          <w:color w:val="auto"/>
          <w:spacing w:val="-8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  <w:lang w:eastAsia="zh-CN"/>
        </w:rPr>
        <w:t>次）</w:t>
      </w:r>
      <w:r>
        <w:rPr>
          <w:rFonts w:hint="default" w:ascii="Times New Roman" w:hAnsi="Times New Roman" w:eastAsia="仿宋_GB2312" w:cs="Times New Roman"/>
          <w:color w:val="auto"/>
          <w:spacing w:val="-8"/>
          <w:sz w:val="32"/>
          <w:szCs w:val="32"/>
        </w:rPr>
        <w:t>如下：</w:t>
      </w:r>
    </w:p>
    <w:p>
      <w:pPr>
        <w:pStyle w:val="1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债务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基本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截至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8月底，自治区财政厅下达利通区第一批新增政府债券3000万元，全部为一般债券，用于20个乡村振兴项目；第二批新增政府债券21552万元，其中：一般债券6022万元（用于民生、安居、涉农等领域21个项目）、专项债券15530万元（用于城市更新等重大项目6000万元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解决机关和全额事业单位拖欠企业账款9530万元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本次新增政府债券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34266万元，其中：一般债券2982万元、专项债券31284万元，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《中华人民共和国预算法》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eastAsia="zh-CN"/>
        </w:rPr>
        <w:t>须按程序进行预算调整，新增一般债券收支纳入一般公共预算管理，新增专项债券收支纳入政府性基金预算管理。同时，也相应增加利通区本级政府债务限额。新增债券后，利通区本级政府法定债务余额为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333786万元，其中：一般债务267138万元、专项债务66648万元。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</w:rPr>
        <w:t>二、</w:t>
      </w:r>
      <w:r>
        <w:rPr>
          <w:rFonts w:hint="default" w:ascii="Times New Roman" w:hAnsi="Times New Roman" w:eastAsia="黑体" w:cs="Times New Roman"/>
          <w:bCs/>
          <w:color w:val="000000"/>
          <w:sz w:val="32"/>
          <w:lang w:eastAsia="zh-CN"/>
        </w:rPr>
        <w:t>债券安排情况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（一）一般债券安排情况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新增地方政府一般债券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资金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2982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万元，全部安排用于利通区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个项目建设。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拟安排以下支出方向：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z w:val="32"/>
          <w:lang w:eastAsia="zh-CN"/>
        </w:rPr>
        <w:t>民生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lang w:eastAsia="zh-CN"/>
        </w:rPr>
        <w:t>实事项目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z w:val="32"/>
          <w:lang w:val="en-US" w:eastAsia="zh-CN"/>
        </w:rPr>
        <w:t>570万元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lang w:eastAsia="zh-CN"/>
        </w:rPr>
        <w:t>具体为：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24"/>
          <w:lang w:val="en-US" w:eastAsia="zh-CN" w:bidi="ar-SA"/>
        </w:rPr>
        <w:t>东塔寺乡二道桥村生活污水及基础设施改造2024年以工代赈项目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24"/>
          <w:lang w:val="en-US" w:eastAsia="zh-CN" w:bidi="ar-SA"/>
        </w:rPr>
        <w:t>100万元，高闸镇周闸村毛庄子边沟治理2025年以工代赈项目90万元，金积镇郝渠村人居环境整治2025年以工代赈项目70万元，扁担沟镇渠口村沟道治理2025年以工代赈示范项目70万元，郭家桥乡山水沟村基础设施改造提升2025年以工代赈示范项目70万元，东塔寺乡新接堡村设施农业配套基础设施2025年以工代赈示范项目70万元，利通区疾病预防控制中心服务能力提升项目100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24"/>
          <w:lang w:val="en-US" w:eastAsia="zh-CN" w:bidi="ar-SA"/>
        </w:rPr>
        <w:t>2.安居工程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kern w:val="2"/>
          <w:sz w:val="32"/>
          <w:szCs w:val="24"/>
          <w:lang w:val="en-US" w:eastAsia="zh-CN" w:bidi="ar-SA"/>
        </w:rPr>
        <w:t>项目1392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24"/>
          <w:lang w:val="en-US" w:eastAsia="zh-CN" w:bidi="ar-SA"/>
        </w:rPr>
        <w:t>万元。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lang w:eastAsia="zh-CN"/>
        </w:rPr>
        <w:t>具体为：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24"/>
          <w:lang w:val="en-US" w:eastAsia="zh-CN" w:bidi="ar-SA"/>
        </w:rPr>
        <w:t>利通区2023年城镇老旧小区改造项目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24"/>
          <w:lang w:val="en-US" w:eastAsia="zh-CN" w:bidi="ar-SA"/>
        </w:rPr>
        <w:t>300万元，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24"/>
          <w:lang w:val="en-US" w:eastAsia="zh-CN" w:bidi="ar-SA"/>
        </w:rPr>
        <w:t>利通区2024年城镇老旧小区改造项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24"/>
          <w:lang w:val="en-US" w:eastAsia="zh-CN" w:bidi="ar-SA"/>
        </w:rPr>
        <w:t>目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24"/>
          <w:lang w:val="en-US" w:eastAsia="zh-CN" w:bidi="ar-SA"/>
        </w:rPr>
        <w:t>1000万元，利通区2024年城乡危旧房加固改造项目92万元。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24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kern w:val="2"/>
          <w:sz w:val="32"/>
          <w:szCs w:val="24"/>
          <w:lang w:val="en-US" w:eastAsia="zh-CN" w:bidi="ar-SA"/>
        </w:rPr>
        <w:t>增发国债及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24"/>
          <w:lang w:val="en-US" w:eastAsia="zh-CN" w:bidi="ar-SA"/>
        </w:rPr>
        <w:t>其他项目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kern w:val="2"/>
          <w:sz w:val="32"/>
          <w:szCs w:val="24"/>
          <w:lang w:val="en-US" w:eastAsia="zh-CN" w:bidi="ar-SA"/>
        </w:rPr>
        <w:t>1020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kern w:val="2"/>
          <w:sz w:val="32"/>
          <w:szCs w:val="24"/>
          <w:lang w:val="en-US" w:eastAsia="zh-CN" w:bidi="ar-SA"/>
        </w:rPr>
        <w:t>万元。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lang w:eastAsia="zh-CN"/>
        </w:rPr>
        <w:t>具体为：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lang w:eastAsia="zh-CN"/>
        </w:rPr>
        <w:t>宁夏重点山洪沟治理项目吴忠市利通区五里坡花水沟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lang w:eastAsia="zh-CN"/>
        </w:rPr>
        <w:t>、双吉沟整治工程和孙家滩开发区横沟综合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lang w:eastAsia="zh-CN"/>
        </w:rPr>
        <w:t>治理工程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sz w:val="32"/>
          <w:lang w:val="en-US" w:eastAsia="zh-CN"/>
        </w:rPr>
        <w:t>280万元，利通区孙家滩土地综合治理项目300万元，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24"/>
          <w:lang w:val="en-US" w:eastAsia="zh-CN" w:bidi="ar-SA"/>
        </w:rPr>
        <w:t>利通区兴业路建设项目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24"/>
          <w:lang w:val="en-US" w:eastAsia="zh-CN" w:bidi="ar-SA"/>
        </w:rPr>
        <w:t>150万元，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kern w:val="2"/>
          <w:sz w:val="32"/>
          <w:szCs w:val="24"/>
          <w:lang w:val="en-US" w:eastAsia="zh-CN" w:bidi="ar-SA"/>
        </w:rPr>
        <w:t>利通区五里坡奶牛养殖园区道路（一期）项目</w:t>
      </w:r>
      <w:r>
        <w:rPr>
          <w:rFonts w:hint="eastAsia" w:ascii="Times New Roman" w:hAnsi="Times New Roman" w:eastAsia="仿宋_GB2312" w:cs="Times New Roman"/>
          <w:b w:val="0"/>
          <w:bCs/>
          <w:color w:val="000000"/>
          <w:kern w:val="2"/>
          <w:sz w:val="32"/>
          <w:szCs w:val="24"/>
          <w:lang w:val="en-US" w:eastAsia="zh-CN" w:bidi="ar-SA"/>
        </w:rPr>
        <w:t>90万元，利通区白黄路连接S308公路路况质量精细化提升工程200万元。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专项债券安排情况。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本次新增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地方政府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eastAsia="zh-CN"/>
        </w:rPr>
        <w:t>专项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</w:rPr>
        <w:t>债券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31284万元，拟安排以下支出方向：利通区2024年扁担沟镇五里坡等村现代高效节水农业项目1000万元，利通区2024年孙家滩现代高效节水农业项目1000万元，利通区垃圾转运站污水处理及公厕污水接入公网建设项目1000万元，利通区古城镇党家河湾城中村片区改造项目5100万元，利通区融通城乡发展（集团）有限公司光储充一体化立体停车楼建设项目2500万元，利通区孙家滩片区高标准农田配套基础设施改造（一期）工程4000万元，利通区现代化灌区量测水设施改造项目1000万元，吴忠市生活垃圾填埋场综合治理项目1000万元，利通区2025年超长期特别国债资金支持设施农业（种植）更新改造项目1000万元，解决机关和全额事业单位工程类拖欠账款13684万元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bCs/>
          <w:color w:val="000000"/>
          <w:sz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z w:val="32"/>
          <w:lang w:eastAsia="zh-CN"/>
        </w:rPr>
        <w:t>三、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lang w:val="en-US" w:eastAsia="zh-CN"/>
        </w:rPr>
        <w:t>耕地占补平衡指标转让收入安排情况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根据《宁夏回族自治区跨县域补充耕地指标交易管理暂行办法》（宁自然资发〔2021〕215号）规定，利通区新增耕地占补平衡指标转让收入582万元，按照“出让方要安排不少于5%的交易资金专项用于补充耕地项目的后期管护和质量提升”要求，提取2025年跨县域补充耕地指标交易项目后期管护费80万元。下剩资金502万元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拟安排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下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支出方向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lang w:val="en-US" w:eastAsia="zh-CN"/>
        </w:rPr>
        <w:t>2025年补充耕地指标入库工作服务费150万元，耕地保护动态监测监管等费用152万元，2024年至2025年林木管护费200万元。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24" w:firstLineChars="200"/>
        <w:textAlignment w:val="auto"/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pacing w:val="-4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pacing w:val="-4"/>
          <w:sz w:val="32"/>
          <w:szCs w:val="32"/>
        </w:rPr>
        <w:t>预算调整情况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color w:val="auto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  <w:t>（一）一般公共预算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lang w:eastAsia="zh-CN"/>
        </w:rPr>
        <w:t>收入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  <w:t>调整情况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</w:rPr>
        <w:t>一般公共预算收入调整情况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2025年利通区一般公共预算全口径收入为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244279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万元，其中：一般公共预算收入40600万元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返还性收入8309万元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一般性转移支付收入124241万元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专项转移支付收入5445万元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动用预算稳定调节基金637万元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上年结余收入41925万元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地方政府一般债券转贷收入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23122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本次调整后：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2025年利通区一般公共预算全口径收入为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247261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万元，其中：一般公共预算收入40600万元、返还性收入8309万元、一般性转移支付收入124241万元、专项转移支付收入5445万元、动用预算稳定调节基金637万元、上年结余收入41925万元、地方政府一般债券转贷收入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26104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（调增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2982万元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</w:rPr>
        <w:t>一般公共预算支出调整情况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2025年利通区一般公共预算全口径支出为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244279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万元，其中：一般公共预算支出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228585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地方政府一般债券还本支出15694万元。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本次调整后：2025年利通区一般公共预算全口径支出为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247261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万元，其中：一般公共预算支出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231567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zh-CN"/>
        </w:rPr>
        <w:t>调增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>2982万元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lang w:val="en-US" w:eastAsia="zh-CN"/>
        </w:rPr>
        <w:t>、地方政府一般债券还本支出15694万元。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21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21"/>
          <w:lang w:val="en-US" w:eastAsia="zh-CN" w:bidi="ar-SA"/>
        </w:rPr>
        <w:t>（二）政府性基金预算调整情况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1.政府性基金预算收入调整情况。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2025年利通区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政府性基金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预算全口径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收入为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19015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其中：区本级政府性基金预算收入0万元、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政府性基金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补助收入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680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上年结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余收入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2805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、地方政府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专项债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券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转贷收入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15530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tabs>
          <w:tab w:val="left" w:pos="900"/>
        </w:tabs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本次调整后：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2025年利通区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政府性基金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zh-CN"/>
        </w:rPr>
        <w:t>预算全口径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/>
        </w:rPr>
        <w:t>收入为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50881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其中：区本级政府性基金预算收入582万元（调增582万元）、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政府性基金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补助收入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680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上年结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余收入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2805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、地方政府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专项债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券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转贷收入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46814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（调增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31284万元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2.政府性基金预算支出调整情况。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2025年利通区政府性基金预算全口径支出为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19015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调整后：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2025年利通区政府性基金预算全口径支出为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50881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（调增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31866万元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76" w:lineRule="exact"/>
        <w:textAlignment w:val="auto"/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2098" w:right="1474" w:bottom="1984" w:left="1588" w:header="851" w:footer="992" w:gutter="0"/>
      <w:pgNumType w:fmt="decimal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>—</w:t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2052" o:spid="_x0000_s2052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>—</w:t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5A0284"/>
    <w:multiLevelType w:val="multilevel"/>
    <w:tmpl w:val="565A0284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yYTdiNTJkZGFlOGNiOWE0NzhiMjIwMjVjZmE4YjMifQ=="/>
  </w:docVars>
  <w:rsids>
    <w:rsidRoot w:val="010C6FAA"/>
    <w:rsid w:val="00015FA2"/>
    <w:rsid w:val="00022A5A"/>
    <w:rsid w:val="0004368C"/>
    <w:rsid w:val="00061B1F"/>
    <w:rsid w:val="00074973"/>
    <w:rsid w:val="00082D86"/>
    <w:rsid w:val="000A6CCD"/>
    <w:rsid w:val="000D02AC"/>
    <w:rsid w:val="000E0AED"/>
    <w:rsid w:val="000E5BCC"/>
    <w:rsid w:val="000F3258"/>
    <w:rsid w:val="0010124E"/>
    <w:rsid w:val="00104B69"/>
    <w:rsid w:val="00113EA6"/>
    <w:rsid w:val="0014175A"/>
    <w:rsid w:val="001446FA"/>
    <w:rsid w:val="00147C4B"/>
    <w:rsid w:val="00150713"/>
    <w:rsid w:val="0016462A"/>
    <w:rsid w:val="00170A0C"/>
    <w:rsid w:val="00177402"/>
    <w:rsid w:val="001A04A1"/>
    <w:rsid w:val="001A67DD"/>
    <w:rsid w:val="001A7AA4"/>
    <w:rsid w:val="001C2BE9"/>
    <w:rsid w:val="001F545A"/>
    <w:rsid w:val="00207D4B"/>
    <w:rsid w:val="00233F7D"/>
    <w:rsid w:val="00237F9C"/>
    <w:rsid w:val="00261989"/>
    <w:rsid w:val="00264412"/>
    <w:rsid w:val="00273A59"/>
    <w:rsid w:val="00276F89"/>
    <w:rsid w:val="00290722"/>
    <w:rsid w:val="00290C1C"/>
    <w:rsid w:val="002963FA"/>
    <w:rsid w:val="0029704F"/>
    <w:rsid w:val="00297AF2"/>
    <w:rsid w:val="002B16FE"/>
    <w:rsid w:val="002E1127"/>
    <w:rsid w:val="002E6685"/>
    <w:rsid w:val="003114A1"/>
    <w:rsid w:val="0035062C"/>
    <w:rsid w:val="00355BDA"/>
    <w:rsid w:val="0035787F"/>
    <w:rsid w:val="00374D22"/>
    <w:rsid w:val="003778E9"/>
    <w:rsid w:val="003A7E40"/>
    <w:rsid w:val="003C0802"/>
    <w:rsid w:val="003C5743"/>
    <w:rsid w:val="003F656F"/>
    <w:rsid w:val="003F7A20"/>
    <w:rsid w:val="00417DD7"/>
    <w:rsid w:val="004272B2"/>
    <w:rsid w:val="0043103E"/>
    <w:rsid w:val="00454969"/>
    <w:rsid w:val="0046517F"/>
    <w:rsid w:val="00490C8F"/>
    <w:rsid w:val="004A181F"/>
    <w:rsid w:val="004A4097"/>
    <w:rsid w:val="004C376C"/>
    <w:rsid w:val="004F2BF1"/>
    <w:rsid w:val="005112ED"/>
    <w:rsid w:val="00532997"/>
    <w:rsid w:val="005366C9"/>
    <w:rsid w:val="005447F4"/>
    <w:rsid w:val="00552B80"/>
    <w:rsid w:val="00554895"/>
    <w:rsid w:val="00575859"/>
    <w:rsid w:val="0058695D"/>
    <w:rsid w:val="005A4B95"/>
    <w:rsid w:val="005A7896"/>
    <w:rsid w:val="005B2B17"/>
    <w:rsid w:val="005B6962"/>
    <w:rsid w:val="005D1C0F"/>
    <w:rsid w:val="005E2FD7"/>
    <w:rsid w:val="005F4E12"/>
    <w:rsid w:val="005F7243"/>
    <w:rsid w:val="00602690"/>
    <w:rsid w:val="00621CC8"/>
    <w:rsid w:val="006547E3"/>
    <w:rsid w:val="00660825"/>
    <w:rsid w:val="00660ACC"/>
    <w:rsid w:val="00666A4D"/>
    <w:rsid w:val="006833AC"/>
    <w:rsid w:val="00693739"/>
    <w:rsid w:val="006A74D2"/>
    <w:rsid w:val="006B3076"/>
    <w:rsid w:val="006C4C74"/>
    <w:rsid w:val="006E2F55"/>
    <w:rsid w:val="006F5F34"/>
    <w:rsid w:val="007179BB"/>
    <w:rsid w:val="00722F89"/>
    <w:rsid w:val="0072492C"/>
    <w:rsid w:val="0073021E"/>
    <w:rsid w:val="00731DE1"/>
    <w:rsid w:val="0074265E"/>
    <w:rsid w:val="00755098"/>
    <w:rsid w:val="00761BD0"/>
    <w:rsid w:val="00764F53"/>
    <w:rsid w:val="007918E1"/>
    <w:rsid w:val="007A0985"/>
    <w:rsid w:val="007A57A1"/>
    <w:rsid w:val="007C75B9"/>
    <w:rsid w:val="007E0FE8"/>
    <w:rsid w:val="007E3FD7"/>
    <w:rsid w:val="007E41EB"/>
    <w:rsid w:val="007E5E32"/>
    <w:rsid w:val="007E6EFF"/>
    <w:rsid w:val="008055CF"/>
    <w:rsid w:val="00812A19"/>
    <w:rsid w:val="00815BC1"/>
    <w:rsid w:val="00816E83"/>
    <w:rsid w:val="00827583"/>
    <w:rsid w:val="00827BFE"/>
    <w:rsid w:val="00827DC5"/>
    <w:rsid w:val="00833857"/>
    <w:rsid w:val="008342F8"/>
    <w:rsid w:val="008351FA"/>
    <w:rsid w:val="008474F2"/>
    <w:rsid w:val="00884424"/>
    <w:rsid w:val="00886D1D"/>
    <w:rsid w:val="00896B66"/>
    <w:rsid w:val="008B103B"/>
    <w:rsid w:val="008D05D3"/>
    <w:rsid w:val="008E7AC6"/>
    <w:rsid w:val="008F25F2"/>
    <w:rsid w:val="00905828"/>
    <w:rsid w:val="00907296"/>
    <w:rsid w:val="00912522"/>
    <w:rsid w:val="00920B7D"/>
    <w:rsid w:val="00930B9C"/>
    <w:rsid w:val="009321C0"/>
    <w:rsid w:val="00935A38"/>
    <w:rsid w:val="00991953"/>
    <w:rsid w:val="00991BC9"/>
    <w:rsid w:val="00993ADC"/>
    <w:rsid w:val="009B4943"/>
    <w:rsid w:val="009D27BF"/>
    <w:rsid w:val="009D600A"/>
    <w:rsid w:val="009E6575"/>
    <w:rsid w:val="009E74B0"/>
    <w:rsid w:val="009F47E9"/>
    <w:rsid w:val="009F7AEF"/>
    <w:rsid w:val="00A40B14"/>
    <w:rsid w:val="00A62D3F"/>
    <w:rsid w:val="00A81194"/>
    <w:rsid w:val="00A81973"/>
    <w:rsid w:val="00A87740"/>
    <w:rsid w:val="00A919AB"/>
    <w:rsid w:val="00A920AF"/>
    <w:rsid w:val="00A95F3B"/>
    <w:rsid w:val="00A965EA"/>
    <w:rsid w:val="00A978F6"/>
    <w:rsid w:val="00AA012B"/>
    <w:rsid w:val="00AA2DB1"/>
    <w:rsid w:val="00AB298E"/>
    <w:rsid w:val="00AC69CC"/>
    <w:rsid w:val="00AD39F8"/>
    <w:rsid w:val="00AD61ED"/>
    <w:rsid w:val="00AE04C3"/>
    <w:rsid w:val="00AE1D7A"/>
    <w:rsid w:val="00AF5D50"/>
    <w:rsid w:val="00B067D0"/>
    <w:rsid w:val="00B06D98"/>
    <w:rsid w:val="00B07886"/>
    <w:rsid w:val="00B1182E"/>
    <w:rsid w:val="00B24F31"/>
    <w:rsid w:val="00B26DFA"/>
    <w:rsid w:val="00B40F38"/>
    <w:rsid w:val="00B44917"/>
    <w:rsid w:val="00B54AD7"/>
    <w:rsid w:val="00B7097E"/>
    <w:rsid w:val="00B80C44"/>
    <w:rsid w:val="00BB79A3"/>
    <w:rsid w:val="00BC0EB0"/>
    <w:rsid w:val="00BD775B"/>
    <w:rsid w:val="00C3718F"/>
    <w:rsid w:val="00C4331C"/>
    <w:rsid w:val="00C4598E"/>
    <w:rsid w:val="00C61585"/>
    <w:rsid w:val="00C61A14"/>
    <w:rsid w:val="00C725DE"/>
    <w:rsid w:val="00C80769"/>
    <w:rsid w:val="00C956A0"/>
    <w:rsid w:val="00CB550C"/>
    <w:rsid w:val="00CC7A32"/>
    <w:rsid w:val="00CD258C"/>
    <w:rsid w:val="00CD3F16"/>
    <w:rsid w:val="00CE43A4"/>
    <w:rsid w:val="00CF76BC"/>
    <w:rsid w:val="00D01F4A"/>
    <w:rsid w:val="00D10953"/>
    <w:rsid w:val="00D21795"/>
    <w:rsid w:val="00D25856"/>
    <w:rsid w:val="00D25E9A"/>
    <w:rsid w:val="00D305BE"/>
    <w:rsid w:val="00D72141"/>
    <w:rsid w:val="00D7298B"/>
    <w:rsid w:val="00D833F6"/>
    <w:rsid w:val="00DC31AA"/>
    <w:rsid w:val="00DF1FAC"/>
    <w:rsid w:val="00DF28A9"/>
    <w:rsid w:val="00E15179"/>
    <w:rsid w:val="00E6246E"/>
    <w:rsid w:val="00E6546E"/>
    <w:rsid w:val="00E728C6"/>
    <w:rsid w:val="00E80A62"/>
    <w:rsid w:val="00E91CB6"/>
    <w:rsid w:val="00EA23AE"/>
    <w:rsid w:val="00EC3B49"/>
    <w:rsid w:val="00EC66F7"/>
    <w:rsid w:val="00EF1C1E"/>
    <w:rsid w:val="00EF39BD"/>
    <w:rsid w:val="00EF4A13"/>
    <w:rsid w:val="00F15B5E"/>
    <w:rsid w:val="00F632BE"/>
    <w:rsid w:val="00F70BE0"/>
    <w:rsid w:val="00F81980"/>
    <w:rsid w:val="00F870FD"/>
    <w:rsid w:val="00F87447"/>
    <w:rsid w:val="00FC6AA2"/>
    <w:rsid w:val="00FD1B62"/>
    <w:rsid w:val="00FD42AB"/>
    <w:rsid w:val="010C6FAA"/>
    <w:rsid w:val="06F74074"/>
    <w:rsid w:val="08FC1D1B"/>
    <w:rsid w:val="09FD2B20"/>
    <w:rsid w:val="0DFB34BC"/>
    <w:rsid w:val="0FFF15C0"/>
    <w:rsid w:val="134B250E"/>
    <w:rsid w:val="13DF93E0"/>
    <w:rsid w:val="18A729A7"/>
    <w:rsid w:val="1EA76978"/>
    <w:rsid w:val="1F7F7135"/>
    <w:rsid w:val="1FFBBF3D"/>
    <w:rsid w:val="1FFF4EAB"/>
    <w:rsid w:val="1FFF8EC6"/>
    <w:rsid w:val="2D7D6F38"/>
    <w:rsid w:val="2ED3663E"/>
    <w:rsid w:val="2EF760C7"/>
    <w:rsid w:val="2F3E9F3F"/>
    <w:rsid w:val="2F77D699"/>
    <w:rsid w:val="335E21A9"/>
    <w:rsid w:val="33FFBA29"/>
    <w:rsid w:val="37F59C77"/>
    <w:rsid w:val="37FCF17C"/>
    <w:rsid w:val="390B2ED3"/>
    <w:rsid w:val="3A3F82ED"/>
    <w:rsid w:val="3ADBF1BD"/>
    <w:rsid w:val="3BEC5EF0"/>
    <w:rsid w:val="3BF54468"/>
    <w:rsid w:val="3D77D689"/>
    <w:rsid w:val="3DBC5035"/>
    <w:rsid w:val="3DC5117E"/>
    <w:rsid w:val="3ECFD1E8"/>
    <w:rsid w:val="3F8C600C"/>
    <w:rsid w:val="3FEF593E"/>
    <w:rsid w:val="3FF79763"/>
    <w:rsid w:val="45EB10DF"/>
    <w:rsid w:val="53FA2323"/>
    <w:rsid w:val="5652B4FF"/>
    <w:rsid w:val="576B9C2D"/>
    <w:rsid w:val="57BBD9D7"/>
    <w:rsid w:val="593FFD40"/>
    <w:rsid w:val="597DC122"/>
    <w:rsid w:val="5AFDCBE6"/>
    <w:rsid w:val="5C7EA7F8"/>
    <w:rsid w:val="5D765B18"/>
    <w:rsid w:val="5DFB7C72"/>
    <w:rsid w:val="5EF26012"/>
    <w:rsid w:val="5EF3D854"/>
    <w:rsid w:val="5FBE175D"/>
    <w:rsid w:val="5FD7BF94"/>
    <w:rsid w:val="5FE7AA81"/>
    <w:rsid w:val="5FEBA9F1"/>
    <w:rsid w:val="5FEE13C4"/>
    <w:rsid w:val="5FFA1DCD"/>
    <w:rsid w:val="5FFF7712"/>
    <w:rsid w:val="63DB1324"/>
    <w:rsid w:val="63FE1F09"/>
    <w:rsid w:val="65B7F33F"/>
    <w:rsid w:val="66AA4B0D"/>
    <w:rsid w:val="67270DD6"/>
    <w:rsid w:val="676F7461"/>
    <w:rsid w:val="67AFFBF7"/>
    <w:rsid w:val="67F6EAE6"/>
    <w:rsid w:val="67FBF9DC"/>
    <w:rsid w:val="689F2F1E"/>
    <w:rsid w:val="695EA456"/>
    <w:rsid w:val="69AF40B7"/>
    <w:rsid w:val="69DDB530"/>
    <w:rsid w:val="6AAF6ABB"/>
    <w:rsid w:val="6BED9D37"/>
    <w:rsid w:val="6D3F7636"/>
    <w:rsid w:val="6E9E60CA"/>
    <w:rsid w:val="6EDD443F"/>
    <w:rsid w:val="6EFA26A5"/>
    <w:rsid w:val="6EFB282D"/>
    <w:rsid w:val="6EFF81E0"/>
    <w:rsid w:val="6F585AD2"/>
    <w:rsid w:val="733FAF67"/>
    <w:rsid w:val="737B4FDB"/>
    <w:rsid w:val="73BF2493"/>
    <w:rsid w:val="73DDCFE0"/>
    <w:rsid w:val="73FFBD66"/>
    <w:rsid w:val="75CFAECE"/>
    <w:rsid w:val="75FB67D4"/>
    <w:rsid w:val="75FF1EF0"/>
    <w:rsid w:val="76EF3EF0"/>
    <w:rsid w:val="76FDAC9B"/>
    <w:rsid w:val="775B0819"/>
    <w:rsid w:val="77D24DB1"/>
    <w:rsid w:val="77DE0C6D"/>
    <w:rsid w:val="77F5265A"/>
    <w:rsid w:val="77FBA43D"/>
    <w:rsid w:val="799691F5"/>
    <w:rsid w:val="79E284C2"/>
    <w:rsid w:val="79EF78C7"/>
    <w:rsid w:val="7AFB7EF5"/>
    <w:rsid w:val="7B1F99B1"/>
    <w:rsid w:val="7BB6E75C"/>
    <w:rsid w:val="7BDFD167"/>
    <w:rsid w:val="7BFD5C4E"/>
    <w:rsid w:val="7C7D4890"/>
    <w:rsid w:val="7D7F0B34"/>
    <w:rsid w:val="7DFEE180"/>
    <w:rsid w:val="7E27F254"/>
    <w:rsid w:val="7EDF0A56"/>
    <w:rsid w:val="7EEF2291"/>
    <w:rsid w:val="7EFB08B6"/>
    <w:rsid w:val="7EFD0093"/>
    <w:rsid w:val="7EFD2F8D"/>
    <w:rsid w:val="7EFEE768"/>
    <w:rsid w:val="7EFF5360"/>
    <w:rsid w:val="7FBF2C7C"/>
    <w:rsid w:val="7FBF5AD1"/>
    <w:rsid w:val="7FE78F81"/>
    <w:rsid w:val="7FFEB9A2"/>
    <w:rsid w:val="7FFF68E7"/>
    <w:rsid w:val="7FFF9995"/>
    <w:rsid w:val="7FFFE8CD"/>
    <w:rsid w:val="8D7FD733"/>
    <w:rsid w:val="8EFDB8B9"/>
    <w:rsid w:val="9BBC1EB3"/>
    <w:rsid w:val="9DF78E93"/>
    <w:rsid w:val="9EF3EC29"/>
    <w:rsid w:val="A57D2E97"/>
    <w:rsid w:val="A5D7B6C8"/>
    <w:rsid w:val="A6FB45EF"/>
    <w:rsid w:val="AA7B2DC0"/>
    <w:rsid w:val="ABEC8801"/>
    <w:rsid w:val="ABFD0786"/>
    <w:rsid w:val="AF913C53"/>
    <w:rsid w:val="AFEF7AAE"/>
    <w:rsid w:val="B061BD97"/>
    <w:rsid w:val="B3FF3975"/>
    <w:rsid w:val="B53EEFC9"/>
    <w:rsid w:val="B67127B9"/>
    <w:rsid w:val="B6F574D5"/>
    <w:rsid w:val="B6FFDA26"/>
    <w:rsid w:val="BABDBEB3"/>
    <w:rsid w:val="BBDB0AB6"/>
    <w:rsid w:val="BBE8A18B"/>
    <w:rsid w:val="BDBFE037"/>
    <w:rsid w:val="BDFB158B"/>
    <w:rsid w:val="BEFFF2B3"/>
    <w:rsid w:val="BFBDB2DE"/>
    <w:rsid w:val="BFBE67C0"/>
    <w:rsid w:val="BFD7B826"/>
    <w:rsid w:val="C4DFA1BF"/>
    <w:rsid w:val="C7EFE6F4"/>
    <w:rsid w:val="C7FE1AB1"/>
    <w:rsid w:val="CBE9EF4D"/>
    <w:rsid w:val="CBEE4048"/>
    <w:rsid w:val="CED7B8E6"/>
    <w:rsid w:val="CF7C53C5"/>
    <w:rsid w:val="CFB7798E"/>
    <w:rsid w:val="D57E1A09"/>
    <w:rsid w:val="D7BBA919"/>
    <w:rsid w:val="D8BD6B02"/>
    <w:rsid w:val="DB961551"/>
    <w:rsid w:val="DBDF28E5"/>
    <w:rsid w:val="DBEB84CE"/>
    <w:rsid w:val="DBEF80BA"/>
    <w:rsid w:val="DBFA506C"/>
    <w:rsid w:val="DDF74049"/>
    <w:rsid w:val="DEFFDCBA"/>
    <w:rsid w:val="DF7DC16C"/>
    <w:rsid w:val="DF9FD15E"/>
    <w:rsid w:val="DFB56517"/>
    <w:rsid w:val="DFBA51F4"/>
    <w:rsid w:val="DFDE1AFA"/>
    <w:rsid w:val="DFEDB1B0"/>
    <w:rsid w:val="DFF3DA85"/>
    <w:rsid w:val="DFFE872C"/>
    <w:rsid w:val="E3395323"/>
    <w:rsid w:val="E3FFA115"/>
    <w:rsid w:val="E4BE63B1"/>
    <w:rsid w:val="E7F3A1BA"/>
    <w:rsid w:val="EBEF1059"/>
    <w:rsid w:val="EDFF0FBA"/>
    <w:rsid w:val="EEDEA8A5"/>
    <w:rsid w:val="EEE751B4"/>
    <w:rsid w:val="EEFDBD6A"/>
    <w:rsid w:val="EF3AC55A"/>
    <w:rsid w:val="EF3EE467"/>
    <w:rsid w:val="EF65657F"/>
    <w:rsid w:val="EF7FAFD0"/>
    <w:rsid w:val="EF8F429D"/>
    <w:rsid w:val="EF979D2B"/>
    <w:rsid w:val="EF9F1F1A"/>
    <w:rsid w:val="EFFD09F0"/>
    <w:rsid w:val="F1D9A9AC"/>
    <w:rsid w:val="F29BC137"/>
    <w:rsid w:val="F3CF3792"/>
    <w:rsid w:val="F4EFD902"/>
    <w:rsid w:val="F5FFDD2E"/>
    <w:rsid w:val="F6DF0993"/>
    <w:rsid w:val="F73F1BD0"/>
    <w:rsid w:val="F73FF00C"/>
    <w:rsid w:val="F7BF9D57"/>
    <w:rsid w:val="F7EF4853"/>
    <w:rsid w:val="F87F7EBB"/>
    <w:rsid w:val="F9FB9F3B"/>
    <w:rsid w:val="FBEFD734"/>
    <w:rsid w:val="FBFF3799"/>
    <w:rsid w:val="FDB7AFF4"/>
    <w:rsid w:val="FDEB4168"/>
    <w:rsid w:val="FDEBDD09"/>
    <w:rsid w:val="FDFEF9B2"/>
    <w:rsid w:val="FE7CE914"/>
    <w:rsid w:val="FEA789D7"/>
    <w:rsid w:val="FEEF5C50"/>
    <w:rsid w:val="FF9D9508"/>
    <w:rsid w:val="FFAB9E26"/>
    <w:rsid w:val="FFB721E7"/>
    <w:rsid w:val="FFC5EBB8"/>
    <w:rsid w:val="FFC79CC0"/>
    <w:rsid w:val="FFDCD1BF"/>
    <w:rsid w:val="FFDCE82C"/>
    <w:rsid w:val="FFDF04F8"/>
    <w:rsid w:val="FFEA9946"/>
    <w:rsid w:val="FFF72BD4"/>
    <w:rsid w:val="FFF75F38"/>
    <w:rsid w:val="FFF9B5E4"/>
    <w:rsid w:val="FFFBC482"/>
    <w:rsid w:val="FFFC4548"/>
    <w:rsid w:val="FFFF8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qFormat/>
    <w:uiPriority w:val="0"/>
    <w:pPr>
      <w:widowControl w:val="0"/>
      <w:spacing w:beforeLines="100" w:line="276" w:lineRule="auto"/>
      <w:ind w:left="210" w:right="210" w:firstLine="600"/>
      <w:contextualSpacing/>
      <w:jc w:val="both"/>
    </w:pPr>
    <w:rPr>
      <w:rFonts w:ascii="微软雅黑" w:hAnsi="微软雅黑" w:eastAsia="微软雅黑" w:cs="Times New Roman"/>
      <w:color w:val="000000"/>
      <w:kern w:val="2"/>
      <w:sz w:val="24"/>
      <w:szCs w:val="21"/>
      <w:lang w:val="en-US" w:eastAsia="zh-CN" w:bidi="ar-SA"/>
    </w:rPr>
  </w:style>
  <w:style w:type="paragraph" w:styleId="3">
    <w:name w:val="Normal Indent"/>
    <w:basedOn w:val="1"/>
    <w:next w:val="1"/>
    <w:unhideWhenUsed/>
    <w:qFormat/>
    <w:uiPriority w:val="99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Body Text"/>
    <w:basedOn w:val="1"/>
    <w:link w:val="17"/>
    <w:qFormat/>
    <w:uiPriority w:val="0"/>
    <w:pPr>
      <w:jc w:val="center"/>
    </w:pPr>
    <w:rPr>
      <w:rFonts w:ascii="Calibri" w:hAnsi="Calibri" w:eastAsia="方正小标宋简体"/>
      <w:sz w:val="44"/>
      <w:szCs w:val="20"/>
    </w:rPr>
  </w:style>
  <w:style w:type="paragraph" w:styleId="5">
    <w:name w:val="Plain Text"/>
    <w:basedOn w:val="1"/>
    <w:link w:val="13"/>
    <w:qFormat/>
    <w:uiPriority w:val="0"/>
    <w:rPr>
      <w:rFonts w:ascii="宋体" w:hAnsi="Courier New"/>
      <w:kern w:val="0"/>
      <w:sz w:val="20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3">
    <w:name w:val="纯文本 Char"/>
    <w:link w:val="5"/>
    <w:qFormat/>
    <w:uiPriority w:val="0"/>
    <w:rPr>
      <w:rFonts w:ascii="宋体" w:hAnsi="Courier New"/>
      <w:szCs w:val="21"/>
    </w:rPr>
  </w:style>
  <w:style w:type="character" w:customStyle="1" w:styleId="14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5">
    <w:name w:val="批注框文本 Char"/>
    <w:basedOn w:val="10"/>
    <w:link w:val="6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正文文本 Char"/>
    <w:basedOn w:val="10"/>
    <w:link w:val="4"/>
    <w:qFormat/>
    <w:uiPriority w:val="0"/>
    <w:rPr>
      <w:rFonts w:ascii="Calibri" w:hAnsi="Calibri" w:eastAsia="方正小标宋简体"/>
      <w:kern w:val="2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 textRotate="1"/>
    <customShpInfo spid="_x0000_s205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1577</Characters>
  <Lines>13</Lines>
  <Paragraphs>3</Paragraphs>
  <TotalTime>5</TotalTime>
  <ScaleCrop>false</ScaleCrop>
  <LinksUpToDate>false</LinksUpToDate>
  <CharactersWithSpaces>1850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2020-09-14T11:35:00Z</dcterms:created>
  <dc:creator>Administrator</dc:creator>
  <cp:lastModifiedBy>wangl</cp:lastModifiedBy>
  <cp:lastPrinted>2025-07-09T16:24:00Z</cp:lastPrinted>
  <dcterms:modified xsi:type="dcterms:W3CDTF">2025-11-06T15:55:51Z</dcterms:modified>
  <dc:title>吴利政发〔2019〕57 号                 签发人：李玉山</dc:title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94ED3282F729D463A95D07685CAE148A_42</vt:lpwstr>
  </property>
</Properties>
</file>