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黑体" w:hAnsi="宋体" w:eastAsia="黑体" w:cs="黑体"/>
          <w:b/>
          <w:kern w:val="0"/>
          <w:sz w:val="32"/>
          <w:szCs w:val="32"/>
          <w:shd w:val="clear" w:fill="FFFFFF"/>
          <w:lang w:val="en-US" w:eastAsia="zh-CN" w:bidi="ar"/>
        </w:rPr>
      </w:pPr>
      <w:r>
        <w:rPr>
          <w:rFonts w:hint="eastAsia" w:ascii="黑体" w:hAnsi="宋体" w:eastAsia="黑体" w:cs="黑体"/>
          <w:b/>
          <w:kern w:val="0"/>
          <w:sz w:val="32"/>
          <w:szCs w:val="32"/>
          <w:shd w:val="clear" w:fill="FFFFFF"/>
          <w:lang w:val="en-US" w:eastAsia="zh-CN" w:bidi="ar"/>
        </w:rPr>
        <w:t>国有资产占用使用情况</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截至2017年12月31日，板桥乡占用使用国有资产总体情况为房屋3641平方米，价值 541万元；土地 0 平方米，价值 0万元；车辆 8 辆，价值  78 万元；办公家具价值104万元；其他资产价值 106万元。国有资产分布情况为：</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本级部门房屋 3641平方米，价值 541万元；土地0平方米，价值 0万元；车辆8辆，价值78 万元；办公家具价值  104 万元；其他资产价值  106 万元。</w:t>
      </w:r>
    </w:p>
    <w:p>
      <w:pPr>
        <w:rPr>
          <w:rFonts w:hint="eastAsia" w:eastAsia="宋体"/>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黑体" w:hAnsi="宋体" w:eastAsia="黑体" w:cs="黑体"/>
          <w:b/>
          <w:kern w:val="0"/>
          <w:sz w:val="32"/>
          <w:szCs w:val="32"/>
          <w:shd w:val="clear" w:fill="FFFFFF"/>
          <w:lang w:val="en-US" w:eastAsia="zh-CN" w:bidi="ar"/>
        </w:rPr>
      </w:pPr>
      <w:r>
        <w:rPr>
          <w:rFonts w:hint="eastAsia" w:ascii="黑体" w:hAnsi="宋体" w:eastAsia="黑体" w:cs="黑体"/>
          <w:b/>
          <w:kern w:val="0"/>
          <w:sz w:val="32"/>
          <w:szCs w:val="32"/>
          <w:shd w:val="clear" w:fill="FFFFFF"/>
          <w:lang w:val="en-US" w:eastAsia="zh-CN" w:bidi="ar"/>
        </w:rPr>
        <w:t>其他重要事项的情况说明</w:t>
      </w:r>
    </w:p>
    <w:p>
      <w:pPr>
        <w:rPr>
          <w:rFonts w:hint="eastAsia" w:ascii="仿宋_GB2312" w:hAnsi="微软雅黑" w:eastAsia="仿宋_GB2312" w:cs="仿宋_GB2312"/>
          <w:i w:val="0"/>
          <w:caps w:val="0"/>
          <w:color w:val="666666"/>
          <w:spacing w:val="0"/>
          <w:kern w:val="0"/>
          <w:sz w:val="32"/>
          <w:szCs w:val="32"/>
          <w:shd w:val="clear" w:fill="FFFFFF"/>
          <w:lang w:val="en-US" w:eastAsia="zh-CN" w:bidi="ar"/>
        </w:rPr>
      </w:pPr>
      <w:r>
        <w:rPr>
          <w:rFonts w:hint="eastAsia" w:ascii="仿宋_GB2312" w:hAnsi="微软雅黑" w:eastAsia="仿宋_GB2312" w:cs="仿宋_GB2312"/>
          <w:i w:val="0"/>
          <w:caps w:val="0"/>
          <w:color w:val="666666"/>
          <w:spacing w:val="0"/>
          <w:kern w:val="0"/>
          <w:sz w:val="32"/>
          <w:szCs w:val="32"/>
          <w:shd w:val="clear" w:fill="FFFFFF"/>
          <w:lang w:val="en-US" w:eastAsia="zh-CN" w:bidi="ar"/>
        </w:rPr>
        <w:t>（三）</w:t>
      </w:r>
      <w:r>
        <w:rPr>
          <w:rFonts w:ascii="仿宋_GB2312" w:hAnsi="宋体" w:eastAsia="仿宋_GB2312" w:cs="仿宋_GB2312"/>
          <w:i w:val="0"/>
          <w:caps w:val="0"/>
          <w:color w:val="666666"/>
          <w:spacing w:val="0"/>
          <w:sz w:val="31"/>
          <w:szCs w:val="31"/>
          <w:shd w:val="clear" w:fill="FFFFFF"/>
        </w:rPr>
        <w:t>政府购买服务情况</w:t>
      </w:r>
      <w:r>
        <w:rPr>
          <w:rFonts w:hint="eastAsia" w:ascii="仿宋_GB2312" w:hAnsi="宋体" w:eastAsia="仿宋_GB2312" w:cs="仿宋_GB2312"/>
          <w:i w:val="0"/>
          <w:caps w:val="0"/>
          <w:color w:val="666666"/>
          <w:spacing w:val="0"/>
          <w:sz w:val="31"/>
          <w:szCs w:val="31"/>
          <w:shd w:val="clear" w:fill="FFFFFF"/>
          <w:lang w:eastAsia="zh-CN"/>
        </w:rPr>
        <w:t>。无</w:t>
      </w:r>
    </w:p>
    <w:p>
      <w:pPr>
        <w:rPr>
          <w:rFonts w:hint="eastAsia" w:eastAsia="宋体"/>
          <w:lang w:val="en-US" w:eastAsia="zh-CN"/>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87432"/>
    <w:rsid w:val="0D687432"/>
    <w:rsid w:val="433C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2019-02-15T02:34:00Z</dcterms:created>
  <dc:creator>Administrator</dc:creator>
  <cp:lastModifiedBy>Administrator</cp:lastModifiedBy>
  <dcterms:modified xsi:type="dcterms:W3CDTF">2019-02-20T02:45:12Z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