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ind w:firstLine="480"/>
        <w:jc w:val="left"/>
        <w:rPr>
          <w:rFonts w:ascii="仿宋_GB2312" w:hAnsi="宋体" w:eastAsia="仿宋_GB2312" w:cs="宋体"/>
          <w:kern w:val="0"/>
          <w:sz w:val="32"/>
          <w:szCs w:val="32"/>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321" w:firstLineChars="100"/>
        <w:jc w:val="left"/>
        <w:outlineLvl w:val="1"/>
        <w:rPr>
          <w:rFonts w:hint="eastAsia" w:ascii="黑体" w:hAnsi="宋体" w:eastAsia="黑体" w:cs="黑体"/>
          <w:b/>
          <w:kern w:val="0"/>
          <w:sz w:val="32"/>
          <w:szCs w:val="32"/>
          <w:shd w:val="clear" w:fill="FFFFFF"/>
          <w:lang w:val="en-US" w:eastAsia="zh-CN" w:bidi="ar"/>
        </w:rPr>
      </w:pPr>
      <w:r>
        <w:rPr>
          <w:rFonts w:hint="eastAsia" w:ascii="黑体" w:hAnsi="宋体" w:eastAsia="黑体" w:cs="黑体"/>
          <w:b/>
          <w:kern w:val="0"/>
          <w:sz w:val="32"/>
          <w:szCs w:val="32"/>
          <w:shd w:val="clear" w:fill="FFFFFF"/>
          <w:lang w:val="en-US" w:eastAsia="zh-CN" w:bidi="ar"/>
        </w:rPr>
        <w:t>国有资产占用使用情况</w:t>
      </w:r>
      <w:bookmarkStart w:id="0" w:name="_GoBack"/>
      <w:bookmarkEnd w:id="0"/>
    </w:p>
    <w:p>
      <w:pPr>
        <w:widowControl/>
        <w:spacing w:line="560" w:lineRule="exact"/>
        <w:ind w:firstLine="48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截至2017年12月31日，</w:t>
      </w:r>
      <w:r>
        <w:rPr>
          <w:rFonts w:hint="eastAsia" w:ascii="仿宋_GB2312" w:hAnsi="宋体" w:eastAsia="仿宋_GB2312" w:cs="宋体"/>
          <w:kern w:val="0"/>
          <w:sz w:val="32"/>
          <w:szCs w:val="32"/>
          <w:lang w:eastAsia="zh-CN"/>
        </w:rPr>
        <w:t>利通区政法委</w:t>
      </w:r>
      <w:r>
        <w:rPr>
          <w:rFonts w:hint="eastAsia" w:ascii="仿宋_GB2312" w:hAnsi="宋体" w:eastAsia="仿宋_GB2312" w:cs="宋体"/>
          <w:kern w:val="0"/>
          <w:sz w:val="32"/>
          <w:szCs w:val="32"/>
        </w:rPr>
        <w:t xml:space="preserve">占用使用国有资产总体情况为房屋 </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 xml:space="preserve"> 平方米，价值 </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 xml:space="preserve"> 万元；土地 </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 xml:space="preserve"> 平方米，价值 </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 xml:space="preserve"> 万元；车辆 </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 xml:space="preserve">辆，价值 </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 xml:space="preserve"> 万元；办公家具价值</w:t>
      </w:r>
      <w:r>
        <w:rPr>
          <w:rFonts w:hint="eastAsia" w:ascii="仿宋_GB2312" w:hAnsi="宋体" w:eastAsia="仿宋_GB2312" w:cs="宋体"/>
          <w:kern w:val="0"/>
          <w:sz w:val="32"/>
          <w:szCs w:val="32"/>
          <w:lang w:val="en-US" w:eastAsia="zh-CN"/>
        </w:rPr>
        <w:t>3.5958</w:t>
      </w:r>
      <w:r>
        <w:rPr>
          <w:rFonts w:hint="eastAsia" w:ascii="仿宋_GB2312" w:hAnsi="宋体" w:eastAsia="仿宋_GB2312" w:cs="宋体"/>
          <w:kern w:val="0"/>
          <w:sz w:val="32"/>
          <w:szCs w:val="32"/>
        </w:rPr>
        <w:t>万元；其他资产价值</w:t>
      </w:r>
      <w:r>
        <w:rPr>
          <w:rFonts w:hint="eastAsia" w:ascii="仿宋_GB2312" w:hAnsi="宋体" w:eastAsia="仿宋_GB2312" w:cs="宋体"/>
          <w:kern w:val="0"/>
          <w:sz w:val="32"/>
          <w:szCs w:val="32"/>
          <w:lang w:val="en-US" w:eastAsia="zh-CN"/>
        </w:rPr>
        <w:t>14.5310</w:t>
      </w:r>
      <w:r>
        <w:rPr>
          <w:rFonts w:hint="eastAsia" w:ascii="仿宋_GB2312" w:hAnsi="宋体" w:eastAsia="仿宋_GB2312" w:cs="宋体"/>
          <w:kern w:val="0"/>
          <w:sz w:val="32"/>
          <w:szCs w:val="32"/>
        </w:rPr>
        <w:t>万元。国有资产分布情况为：</w:t>
      </w:r>
    </w:p>
    <w:p>
      <w:pPr>
        <w:widowControl/>
        <w:spacing w:line="560" w:lineRule="exact"/>
        <w:ind w:firstLine="480"/>
        <w:jc w:val="lef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本级部门房屋 </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 xml:space="preserve"> 平方米，价值 </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 xml:space="preserve"> 万元；土地 </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 xml:space="preserve"> 平方米，价值 </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 xml:space="preserve"> 万元；车辆 </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 xml:space="preserve"> 辆，价值 </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 xml:space="preserve"> 万元；办公家具价值</w:t>
      </w:r>
      <w:r>
        <w:rPr>
          <w:rFonts w:hint="eastAsia" w:ascii="仿宋_GB2312" w:hAnsi="宋体" w:eastAsia="仿宋_GB2312" w:cs="宋体"/>
          <w:kern w:val="0"/>
          <w:sz w:val="32"/>
          <w:szCs w:val="32"/>
          <w:lang w:val="en-US" w:eastAsia="zh-CN"/>
        </w:rPr>
        <w:t>3.5958</w:t>
      </w:r>
      <w:r>
        <w:rPr>
          <w:rFonts w:hint="eastAsia" w:ascii="仿宋_GB2312" w:hAnsi="宋体" w:eastAsia="仿宋_GB2312" w:cs="宋体"/>
          <w:kern w:val="0"/>
          <w:sz w:val="32"/>
          <w:szCs w:val="32"/>
        </w:rPr>
        <w:t>万元；其他资产价值</w:t>
      </w:r>
      <w:r>
        <w:rPr>
          <w:rFonts w:hint="eastAsia" w:ascii="仿宋_GB2312" w:hAnsi="宋体" w:eastAsia="仿宋_GB2312" w:cs="宋体"/>
          <w:kern w:val="0"/>
          <w:sz w:val="32"/>
          <w:szCs w:val="32"/>
          <w:lang w:val="en-US" w:eastAsia="zh-CN"/>
        </w:rPr>
        <w:t>14.5310</w:t>
      </w:r>
      <w:r>
        <w:rPr>
          <w:rFonts w:hint="eastAsia" w:ascii="仿宋_GB2312" w:hAnsi="宋体" w:eastAsia="仿宋_GB2312" w:cs="宋体"/>
          <w:kern w:val="0"/>
          <w:sz w:val="32"/>
          <w:szCs w:val="32"/>
        </w:rPr>
        <w:t>万元。</w:t>
      </w:r>
    </w:p>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321" w:firstLineChars="100"/>
        <w:jc w:val="left"/>
        <w:outlineLvl w:val="1"/>
      </w:pPr>
      <w:r>
        <w:rPr>
          <w:rFonts w:hint="eastAsia" w:ascii="黑体" w:hAnsi="宋体" w:eastAsia="黑体" w:cs="黑体"/>
          <w:b/>
          <w:kern w:val="0"/>
          <w:sz w:val="32"/>
          <w:szCs w:val="32"/>
          <w:shd w:val="clear" w:fill="FFFFFF"/>
          <w:lang w:val="en-US" w:eastAsia="zh-CN" w:bidi="ar"/>
        </w:rPr>
        <w:t>2018年部门预算——名词解释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480"/>
        <w:jc w:val="left"/>
      </w:pPr>
      <w:r>
        <w:rPr>
          <w:rFonts w:ascii="仿宋_GB2312" w:hAnsi="宋体" w:eastAsia="仿宋_GB2312" w:cs="宋体"/>
          <w:kern w:val="0"/>
          <w:sz w:val="32"/>
          <w:szCs w:val="32"/>
          <w:shd w:val="clear" w:fill="FFFFFF"/>
          <w:lang w:val="en-US" w:eastAsia="zh-CN" w:bidi="ar"/>
        </w:rPr>
        <w:t>1、本年收入：是指单位本年度取得的全部收入。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480"/>
        <w:jc w:val="left"/>
      </w:pPr>
      <w:r>
        <w:rPr>
          <w:rFonts w:hint="eastAsia" w:ascii="仿宋_GB2312" w:hAnsi="宋体" w:eastAsia="仿宋_GB2312" w:cs="宋体"/>
          <w:kern w:val="0"/>
          <w:sz w:val="32"/>
          <w:szCs w:val="32"/>
          <w:shd w:val="clear" w:fill="FFFFFF"/>
          <w:lang w:val="en-US" w:eastAsia="zh-CN" w:bidi="ar"/>
        </w:rPr>
        <w:t>2、财政拨款收入：是指单位本年度从本级财政部门取得的财政拨款，包括一般公共预算财政拨款和政府性基金预算财政拨款。</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480"/>
        <w:jc w:val="left"/>
      </w:pPr>
      <w:r>
        <w:rPr>
          <w:rFonts w:hint="eastAsia" w:ascii="仿宋_GB2312" w:hAnsi="宋体" w:eastAsia="仿宋_GB2312" w:cs="宋体"/>
          <w:kern w:val="0"/>
          <w:sz w:val="32"/>
          <w:szCs w:val="32"/>
          <w:shd w:val="clear" w:fill="FFFFFF"/>
          <w:lang w:val="en-US" w:eastAsia="zh-CN" w:bidi="ar"/>
        </w:rPr>
        <w:t>3、事业收入：是指事业单位开展专业业务活动及其辅助活动取得的收入。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480"/>
        <w:jc w:val="left"/>
      </w:pPr>
      <w:r>
        <w:rPr>
          <w:rFonts w:hint="eastAsia" w:ascii="仿宋_GB2312" w:hAnsi="宋体" w:eastAsia="仿宋_GB2312" w:cs="宋体"/>
          <w:kern w:val="0"/>
          <w:sz w:val="32"/>
          <w:szCs w:val="32"/>
          <w:shd w:val="clear" w:fill="FFFFFF"/>
          <w:lang w:val="en-US" w:eastAsia="zh-CN" w:bidi="ar"/>
        </w:rPr>
        <w:t>4、其他收入：是指单位取得的除“财政拨款收入”、“事业收入”、“经营收入”等以外的各项收入。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480"/>
        <w:jc w:val="left"/>
      </w:pPr>
      <w:r>
        <w:rPr>
          <w:rFonts w:hint="eastAsia" w:ascii="仿宋_GB2312" w:hAnsi="宋体" w:eastAsia="仿宋_GB2312" w:cs="宋体"/>
          <w:kern w:val="0"/>
          <w:sz w:val="32"/>
          <w:szCs w:val="32"/>
          <w:shd w:val="clear" w:fill="FFFFFF"/>
          <w:lang w:val="en-US" w:eastAsia="zh-CN" w:bidi="ar"/>
        </w:rPr>
        <w:t>5、基本支出：是指单位为保障机构正常运转、完成日常工作任务而发生的各项支出。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480"/>
        <w:jc w:val="left"/>
      </w:pPr>
      <w:r>
        <w:rPr>
          <w:rFonts w:hint="eastAsia" w:ascii="仿宋_GB2312" w:hAnsi="宋体" w:eastAsia="仿宋_GB2312" w:cs="宋体"/>
          <w:kern w:val="0"/>
          <w:sz w:val="32"/>
          <w:szCs w:val="32"/>
          <w:shd w:val="clear" w:fill="FFFFFF"/>
          <w:lang w:val="en-US" w:eastAsia="zh-CN" w:bidi="ar"/>
        </w:rPr>
        <w:t>6、项目支出：是指单位为完成特定的行政工作任务或事业发展目标，在基本支出之外发生的各项支出。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480"/>
        <w:jc w:val="left"/>
      </w:pPr>
      <w:r>
        <w:rPr>
          <w:rFonts w:hint="eastAsia" w:ascii="仿宋_GB2312" w:hAnsi="宋体" w:eastAsia="仿宋_GB2312" w:cs="宋体"/>
          <w:kern w:val="0"/>
          <w:sz w:val="32"/>
          <w:szCs w:val="32"/>
          <w:shd w:val="clear" w:fill="FFFFFF"/>
          <w:lang w:val="en-US" w:eastAsia="zh-CN" w:bidi="ar"/>
        </w:rPr>
        <w:t>7、人员经费：是指单位基本支出中用一般公共预算财政拨款安排的“工资福利支出”和“对个人和家庭的补助”。</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480"/>
        <w:jc w:val="left"/>
      </w:pPr>
      <w:r>
        <w:rPr>
          <w:rFonts w:hint="eastAsia" w:ascii="仿宋_GB2312" w:hAnsi="宋体" w:eastAsia="仿宋_GB2312" w:cs="宋体"/>
          <w:kern w:val="0"/>
          <w:sz w:val="32"/>
          <w:szCs w:val="32"/>
          <w:shd w:val="clear" w:fill="FFFFFF"/>
          <w:lang w:val="en-US" w:eastAsia="zh-CN" w:bidi="ar"/>
        </w:rPr>
        <w:t>8、日常公用经费：是指单位用一般公共预算财政拨款安排的除人员经费以外的基本支出。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480"/>
        <w:jc w:val="left"/>
      </w:pPr>
      <w:r>
        <w:rPr>
          <w:rFonts w:hint="eastAsia" w:ascii="仿宋_GB2312" w:hAnsi="宋体" w:eastAsia="仿宋_GB2312" w:cs="宋体"/>
          <w:kern w:val="0"/>
          <w:sz w:val="32"/>
          <w:szCs w:val="32"/>
          <w:shd w:val="clear" w:fill="FFFFFF"/>
          <w:lang w:val="en-US" w:eastAsia="zh-CN" w:bidi="ar"/>
        </w:rPr>
        <w:t>9、“三公”经费：纳入中央财政预决算管理的“三公”经费，是指中央部门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480"/>
        <w:jc w:val="left"/>
      </w:pPr>
      <w:r>
        <w:rPr>
          <w:rFonts w:hint="eastAsia" w:ascii="仿宋_GB2312" w:hAnsi="宋体" w:eastAsia="仿宋_GB2312" w:cs="宋体"/>
          <w:kern w:val="0"/>
          <w:sz w:val="32"/>
          <w:szCs w:val="32"/>
          <w:shd w:val="clear" w:fill="FFFFFF"/>
          <w:lang w:val="en-US" w:eastAsia="zh-CN" w:bidi="ar"/>
        </w:rPr>
        <w:t>10、机关运行经费：是指为保障行政单位（包括实行公务员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56F8"/>
    <w:rsid w:val="00301238"/>
    <w:rsid w:val="00414247"/>
    <w:rsid w:val="004F39D1"/>
    <w:rsid w:val="0065335A"/>
    <w:rsid w:val="007546DC"/>
    <w:rsid w:val="007C09D8"/>
    <w:rsid w:val="008B5E59"/>
    <w:rsid w:val="00DB56F8"/>
    <w:rsid w:val="0196578D"/>
    <w:rsid w:val="1FA6207A"/>
    <w:rsid w:val="2AB825FB"/>
    <w:rsid w:val="57CB6A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spacing w:before="340" w:beforeLines="0" w:beforeAutospacing="0" w:after="330" w:afterLines="0" w:afterAutospacing="0" w:line="576" w:lineRule="auto"/>
      <w:outlineLvl w:val="0"/>
    </w:pPr>
    <w:rPr>
      <w:b/>
      <w:kern w:val="44"/>
      <w:sz w:val="44"/>
    </w:rPr>
  </w:style>
  <w:style w:type="character" w:default="1" w:styleId="5">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3">
    <w:name w:val="footer"/>
    <w:basedOn w:val="1"/>
    <w:link w:val="8"/>
    <w:semiHidden/>
    <w:unhideWhenUsed/>
    <w:qFormat/>
    <w:uiPriority w:val="99"/>
    <w:pPr>
      <w:tabs>
        <w:tab w:val="center" w:pos="4153"/>
        <w:tab w:val="right" w:pos="8306"/>
      </w:tabs>
      <w:snapToGrid w:val="0"/>
      <w:jc w:val="left"/>
    </w:pPr>
    <w:rPr>
      <w:sz w:val="18"/>
      <w:szCs w:val="18"/>
    </w:rPr>
  </w:style>
  <w:style w:type="paragraph" w:styleId="4">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5"/>
    <w:link w:val="4"/>
    <w:semiHidden/>
    <w:qFormat/>
    <w:uiPriority w:val="99"/>
    <w:rPr>
      <w:rFonts w:ascii="Times New Roman" w:hAnsi="Times New Roman" w:eastAsia="宋体" w:cs="Times New Roman"/>
      <w:sz w:val="18"/>
      <w:szCs w:val="18"/>
    </w:rPr>
  </w:style>
  <w:style w:type="character" w:customStyle="1" w:styleId="8">
    <w:name w:val="页脚 Char"/>
    <w:basedOn w:val="5"/>
    <w:link w:val="3"/>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1</Pages>
  <Words>44</Words>
  <Characters>256</Characters>
  <Lines>2</Lines>
  <Paragraphs>1</Paragraphs>
  <TotalTime>0</TotalTime>
  <ScaleCrop>false</ScaleCrop>
  <LinksUpToDate>false</LinksUpToDate>
  <CharactersWithSpaces>299</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2019-02-14T01:46:00Z</dcterms:created>
  <dc:creator>微软用户</dc:creator>
  <cp:lastModifiedBy>Administrator</cp:lastModifiedBy>
  <dcterms:modified xsi:type="dcterms:W3CDTF">2019-02-15T02:14:32Z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