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both"/>
        <w:rPr>
          <w:rFonts w:hint="eastAsia" w:ascii="黑体" w:hAnsi="黑体" w:eastAsia="黑体" w:cs="黑体"/>
          <w:b w:val="0"/>
          <w:kern w:val="0"/>
          <w:sz w:val="36"/>
          <w:szCs w:val="36"/>
          <w:lang w:val="en-US" w:eastAsia="zh-CN"/>
        </w:rPr>
      </w:pPr>
      <w:r>
        <w:rPr>
          <w:rFonts w:hint="eastAsia" w:ascii="黑体" w:hAnsi="黑体" w:eastAsia="黑体" w:cs="黑体"/>
          <w:b w:val="0"/>
          <w:kern w:val="0"/>
          <w:sz w:val="36"/>
          <w:szCs w:val="36"/>
          <w:lang w:val="en-US" w:eastAsia="zh-CN"/>
        </w:rPr>
        <w:t>附件2</w:t>
      </w:r>
    </w:p>
    <w:p>
      <w:pPr>
        <w:spacing w:line="580" w:lineRule="exact"/>
        <w:jc w:val="both"/>
        <w:rPr>
          <w:lang w:val="en-US" w:eastAsia="zh-CN"/>
        </w:rPr>
      </w:pPr>
    </w:p>
    <w:p>
      <w:pPr>
        <w:spacing w:before="100" w:beforeAutospacing="1" w:after="100" w:afterAutospacing="1" w:line="360" w:lineRule="auto"/>
        <w:ind w:firstLine="640" w:firstLineChars="200"/>
        <w:jc w:val="both"/>
        <w:outlineLvl w:val="1"/>
        <w:rPr>
          <w:rFonts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吴忠市利通区扁担沟镇人民政府</w:t>
      </w:r>
      <w:r>
        <w:rPr>
          <w:rFonts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3</w:t>
      </w:r>
      <w:r>
        <w:rPr>
          <w:rFonts w:ascii="Times New Roman" w:hAnsi="Times New Roman" w:eastAsia="仿宋_GB2312" w:cs="Times New Roman"/>
          <w:kern w:val="0"/>
          <w:sz w:val="32"/>
          <w:szCs w:val="32"/>
          <w:lang w:val="en-US" w:eastAsia="zh-CN"/>
        </w:rPr>
        <w:t>年度部门决算已于202</w:t>
      </w:r>
      <w:r>
        <w:rPr>
          <w:rFonts w:hint="eastAsia" w:ascii="Times New Roman" w:hAnsi="Times New Roman" w:eastAsia="仿宋_GB2312" w:cs="Times New Roman"/>
          <w:kern w:val="0"/>
          <w:sz w:val="32"/>
          <w:szCs w:val="32"/>
          <w:lang w:val="en-US" w:eastAsia="zh-CN"/>
        </w:rPr>
        <w:t>4</w:t>
      </w:r>
      <w:r>
        <w:rPr>
          <w:rFonts w:ascii="Times New Roman" w:hAnsi="Times New Roman" w:eastAsia="仿宋_GB2312" w:cs="Times New Roman"/>
          <w:kern w:val="0"/>
          <w:sz w:val="32"/>
          <w:szCs w:val="32"/>
          <w:lang w:val="en-US" w:eastAsia="zh-CN"/>
        </w:rPr>
        <w:t>年</w:t>
      </w:r>
      <w:r>
        <w:rPr>
          <w:rFonts w:hint="eastAsia" w:ascii="Times New Roman" w:hAnsi="Times New Roman" w:eastAsia="仿宋_GB2312" w:cs="Times New Roman"/>
          <w:kern w:val="0"/>
          <w:sz w:val="32"/>
          <w:szCs w:val="32"/>
          <w:lang w:val="en-US" w:eastAsia="zh-CN"/>
        </w:rPr>
        <w:t>8</w:t>
      </w:r>
      <w:r>
        <w:rPr>
          <w:rFonts w:ascii="Times New Roman" w:hAnsi="Times New Roman" w:eastAsia="仿宋_GB2312" w:cs="Times New Roman"/>
          <w:kern w:val="0"/>
          <w:sz w:val="32"/>
          <w:szCs w:val="32"/>
          <w:lang w:val="en-US" w:eastAsia="zh-CN"/>
        </w:rPr>
        <w:t>月</w:t>
      </w:r>
      <w:r>
        <w:rPr>
          <w:rFonts w:hint="eastAsia" w:ascii="Times New Roman" w:hAnsi="Times New Roman" w:eastAsia="仿宋_GB2312" w:cs="Times New Roman"/>
          <w:kern w:val="0"/>
          <w:sz w:val="32"/>
          <w:szCs w:val="32"/>
          <w:lang w:val="en-US" w:eastAsia="zh-CN"/>
        </w:rPr>
        <w:t>28</w:t>
      </w:r>
      <w:r>
        <w:rPr>
          <w:rFonts w:ascii="Times New Roman" w:hAnsi="Times New Roman" w:eastAsia="仿宋_GB2312" w:cs="Times New Roman"/>
          <w:kern w:val="0"/>
          <w:sz w:val="32"/>
          <w:szCs w:val="32"/>
          <w:lang w:val="en-US" w:eastAsia="zh-CN"/>
        </w:rPr>
        <w:t>日由</w:t>
      </w:r>
      <w:r>
        <w:rPr>
          <w:rFonts w:hint="eastAsia" w:ascii="Times New Roman" w:hAnsi="Times New Roman" w:eastAsia="仿宋_GB2312" w:cs="Times New Roman"/>
          <w:kern w:val="0"/>
          <w:sz w:val="32"/>
          <w:szCs w:val="32"/>
          <w:lang w:val="en-US" w:eastAsia="zh-CN"/>
        </w:rPr>
        <w:t>吴忠市利通区财政局</w:t>
      </w:r>
      <w:r>
        <w:rPr>
          <w:rFonts w:ascii="Times New Roman" w:hAnsi="Times New Roman" w:eastAsia="仿宋_GB2312" w:cs="Times New Roman"/>
          <w:kern w:val="0"/>
          <w:sz w:val="32"/>
          <w:szCs w:val="32"/>
          <w:lang w:val="en-US" w:eastAsia="zh-CN"/>
        </w:rPr>
        <w:t>批复,根据《中华人民共和国政府信息公开条例》《中华人民共和国预算法》有关规定,现将</w:t>
      </w:r>
      <w:r>
        <w:rPr>
          <w:rFonts w:hint="eastAsia" w:ascii="Times New Roman" w:hAnsi="Times New Roman" w:eastAsia="仿宋_GB2312" w:cs="Times New Roman"/>
          <w:kern w:val="0"/>
          <w:sz w:val="32"/>
          <w:szCs w:val="32"/>
          <w:lang w:val="en-US" w:eastAsia="zh-CN"/>
        </w:rPr>
        <w:t>宁夏回族自治区吴忠市利通区扁担沟镇人民政府</w:t>
      </w:r>
      <w:r>
        <w:rPr>
          <w:rFonts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3</w:t>
      </w:r>
      <w:r>
        <w:rPr>
          <w:rFonts w:ascii="Times New Roman" w:hAnsi="Times New Roman" w:eastAsia="仿宋_GB2312" w:cs="Times New Roman"/>
          <w:kern w:val="0"/>
          <w:sz w:val="32"/>
          <w:szCs w:val="32"/>
          <w:lang w:val="en-US" w:eastAsia="zh-CN"/>
        </w:rPr>
        <w:t>年部门决算公开如下,接受社会各界监督。</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1598" w:leftChars="304" w:hanging="960" w:hangingChars="300"/>
        <w:jc w:val="both"/>
        <w:textAlignment w:val="auto"/>
        <w:outlineLvl w:val="1"/>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附件:</w:t>
      </w:r>
      <w:bookmarkStart w:id="0" w:name="_GoBack"/>
      <w:r>
        <w:rPr>
          <w:rFonts w:ascii="Times New Roman" w:hAnsi="Times New Roman" w:eastAsia="仿宋_GB2312" w:cs="Times New Roman"/>
          <w:kern w:val="0"/>
          <w:sz w:val="32"/>
          <w:szCs w:val="32"/>
          <w:lang w:val="en-US" w:eastAsia="zh-CN"/>
        </w:rPr>
        <w:t>202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3"/>
          <w:szCs w:val="33"/>
          <w:lang w:val="en-US" w:eastAsia="zh-CN"/>
        </w:rPr>
        <w:t>年度宁夏回族自治区吴忠市利通区</w:t>
      </w:r>
      <w:r>
        <w:rPr>
          <w:rFonts w:hint="eastAsia" w:ascii="Times New Roman" w:hAnsi="Times New Roman" w:eastAsia="仿宋_GB2312" w:cs="Times New Roman"/>
          <w:kern w:val="0"/>
          <w:sz w:val="32"/>
          <w:szCs w:val="32"/>
          <w:lang w:val="en-US" w:eastAsia="zh-CN"/>
        </w:rPr>
        <w:t>担沟镇人民政府</w:t>
      </w:r>
      <w:r>
        <w:rPr>
          <w:rFonts w:ascii="Times New Roman" w:hAnsi="Times New Roman" w:eastAsia="仿宋_GB2312" w:cs="Times New Roman"/>
          <w:kern w:val="0"/>
          <w:sz w:val="32"/>
          <w:szCs w:val="32"/>
          <w:lang w:val="en-US" w:eastAsia="zh-CN"/>
        </w:rPr>
        <w:t>部门</w:t>
      </w:r>
      <w:bookmarkEnd w:id="0"/>
      <w:r>
        <w:rPr>
          <w:rFonts w:ascii="Times New Roman" w:hAnsi="Times New Roman" w:eastAsia="仿宋_GB2312" w:cs="Times New Roman"/>
          <w:kern w:val="0"/>
          <w:sz w:val="32"/>
          <w:szCs w:val="32"/>
          <w:lang w:val="en-US" w:eastAsia="zh-CN"/>
        </w:rPr>
        <w:t>决算</w:t>
      </w:r>
    </w:p>
    <w:p>
      <w:pPr>
        <w:spacing w:before="100" w:beforeAutospacing="1" w:after="100" w:afterAutospacing="1" w:line="360" w:lineRule="auto"/>
        <w:ind w:firstLine="640" w:firstLineChars="200"/>
        <w:jc w:val="both"/>
        <w:outlineLvl w:val="1"/>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w:t>
      </w:r>
    </w:p>
    <w:p>
      <w:pPr>
        <w:spacing w:before="100" w:beforeAutospacing="1" w:after="100" w:afterAutospacing="1" w:line="360" w:lineRule="auto"/>
        <w:ind w:firstLine="640" w:firstLineChars="200"/>
        <w:jc w:val="both"/>
        <w:outlineLvl w:val="1"/>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w:t>
      </w:r>
    </w:p>
    <w:p>
      <w:pPr>
        <w:spacing w:before="100" w:beforeAutospacing="1" w:after="100" w:afterAutospacing="1" w:line="360" w:lineRule="auto"/>
        <w:ind w:firstLine="640" w:firstLineChars="200"/>
        <w:jc w:val="center"/>
        <w:outlineLvl w:val="1"/>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lang w:val="en-US" w:eastAsia="zh-CN"/>
        </w:rPr>
        <w:t xml:space="preserve">     吴忠市利通区扁担沟镇人民政府</w:t>
      </w:r>
    </w:p>
    <w:p>
      <w:pPr>
        <w:spacing w:before="100" w:beforeAutospacing="1" w:after="100" w:afterAutospacing="1" w:line="360" w:lineRule="auto"/>
        <w:ind w:firstLine="640" w:firstLineChars="200"/>
        <w:jc w:val="center"/>
        <w:outlineLvl w:val="1"/>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lang w:val="en-US" w:eastAsia="zh-CN"/>
        </w:rPr>
        <w:t>2024年9 月10 日</w:t>
      </w:r>
    </w:p>
    <w:p>
      <w:pPr>
        <w:spacing w:line="580" w:lineRule="exact"/>
        <w:jc w:val="both"/>
        <w:rPr>
          <w:rFonts w:hint="eastAsia"/>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kern w:val="2"/>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72"/>
          <w:szCs w:val="72"/>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72"/>
          <w:szCs w:val="72"/>
          <w:lang w:val="en-US" w:eastAsia="zh-CN"/>
        </w:rPr>
      </w:pPr>
      <w:r>
        <w:rPr>
          <w:rFonts w:hint="eastAsia" w:ascii="黑体" w:hAnsi="宋体" w:eastAsia="黑体" w:cs="黑体"/>
          <w:kern w:val="2"/>
          <w:sz w:val="72"/>
          <w:szCs w:val="72"/>
          <w:lang w:val="en-US" w:eastAsia="zh-CN"/>
        </w:rPr>
        <w:t>2023年度</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52"/>
          <w:szCs w:val="52"/>
          <w:lang w:val="en-US" w:eastAsia="zh-CN"/>
        </w:rPr>
      </w:pPr>
      <w:r>
        <w:rPr>
          <w:rFonts w:hint="eastAsia" w:ascii="黑体" w:hAnsi="宋体" w:eastAsia="黑体" w:cs="黑体"/>
          <w:kern w:val="2"/>
          <w:sz w:val="72"/>
          <w:szCs w:val="72"/>
          <w:lang w:val="en-US" w:eastAsia="zh-CN"/>
        </w:rPr>
        <w:t>宁夏回族自治区吴忠市利通区扁担沟镇人民政府单位决算</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52"/>
          <w:szCs w:val="52"/>
          <w:lang w:val="en-US" w:eastAsia="zh-CN"/>
        </w:rPr>
      </w:pPr>
      <w:r>
        <w:rPr>
          <w:rFonts w:hint="eastAsia" w:ascii="黑体" w:hAnsi="宋体" w:eastAsia="黑体" w:cs="黑体"/>
          <w:kern w:val="2"/>
          <w:sz w:val="52"/>
          <w:szCs w:val="52"/>
          <w:lang w:val="en-US" w:eastAsia="zh-CN"/>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52"/>
          <w:szCs w:val="52"/>
          <w:lang w:val="en-US" w:eastAsia="zh-CN"/>
        </w:rPr>
      </w:pPr>
      <w:r>
        <w:rPr>
          <w:rFonts w:hint="eastAsia" w:ascii="黑体" w:hAnsi="宋体" w:eastAsia="黑体" w:cs="黑体"/>
          <w:kern w:val="2"/>
          <w:sz w:val="52"/>
          <w:szCs w:val="52"/>
          <w:lang w:val="en-US" w:eastAsia="zh-CN"/>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52"/>
          <w:szCs w:val="52"/>
          <w:lang w:val="en-US" w:eastAsia="zh-CN"/>
        </w:rPr>
      </w:pPr>
      <w:r>
        <w:rPr>
          <w:rFonts w:hint="eastAsia" w:ascii="黑体" w:hAnsi="宋体" w:eastAsia="黑体" w:cs="黑体"/>
          <w:kern w:val="2"/>
          <w:sz w:val="52"/>
          <w:szCs w:val="52"/>
          <w:lang w:val="en-US" w:eastAsia="zh-CN"/>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52"/>
          <w:szCs w:val="52"/>
          <w:lang w:val="en-US" w:eastAsia="zh-CN"/>
        </w:rPr>
      </w:pPr>
      <w:r>
        <w:rPr>
          <w:rFonts w:hint="eastAsia" w:ascii="黑体" w:hAnsi="宋体" w:eastAsia="黑体" w:cs="黑体"/>
          <w:kern w:val="2"/>
          <w:sz w:val="52"/>
          <w:szCs w:val="52"/>
          <w:lang w:val="en-US" w:eastAsia="zh-CN"/>
        </w:rPr>
        <w:t xml:space="preserve"> </w:t>
      </w:r>
    </w:p>
    <w:p>
      <w:pPr>
        <w:keepNext w:val="0"/>
        <w:keepLines w:val="0"/>
        <w:widowControl w:val="0"/>
        <w:suppressLineNumbers w:val="0"/>
        <w:spacing w:before="0" w:beforeAutospacing="0" w:after="0" w:afterAutospacing="0"/>
        <w:ind w:left="0" w:right="0"/>
        <w:jc w:val="center"/>
        <w:rPr>
          <w:rFonts w:hint="eastAsia" w:ascii="黑体" w:hAnsi="黑体" w:eastAsia="黑体" w:cs="黑体"/>
          <w:b/>
          <w:kern w:val="0"/>
          <w:sz w:val="44"/>
          <w:szCs w:val="44"/>
          <w:lang w:val="en-US" w:eastAsia="zh-CN"/>
        </w:rPr>
      </w:pPr>
      <w:r>
        <w:rPr>
          <w:rFonts w:hint="eastAsia" w:ascii="黑体" w:hAnsi="宋体" w:eastAsia="黑体" w:cs="黑体"/>
          <w:kern w:val="2"/>
          <w:sz w:val="52"/>
          <w:szCs w:val="52"/>
          <w:lang w:val="en-US" w:eastAsia="zh-CN"/>
        </w:rPr>
        <w:t xml:space="preserve"> </w:t>
      </w:r>
      <w:r>
        <w:br w:type="page"/>
      </w:r>
    </w:p>
    <w:p>
      <w:pPr>
        <w:spacing w:line="580" w:lineRule="exact"/>
        <w:jc w:val="center"/>
        <w:outlineLvl w:val="1"/>
        <w:rPr>
          <w:rFonts w:hint="eastAsia" w:ascii="黑体" w:hAnsi="黑体" w:eastAsia="黑体" w:cs="黑体"/>
          <w:b/>
          <w:kern w:val="0"/>
          <w:sz w:val="44"/>
          <w:szCs w:val="44"/>
          <w:lang w:val="en-US" w:eastAsia="zh-CN"/>
        </w:rPr>
      </w:pPr>
      <w:r>
        <w:rPr>
          <w:rFonts w:hint="eastAsia" w:ascii="黑体" w:hAnsi="黑体" w:eastAsia="黑体" w:cs="黑体"/>
          <w:b/>
          <w:kern w:val="0"/>
          <w:sz w:val="44"/>
          <w:szCs w:val="44"/>
          <w:lang w:val="en-US" w:eastAsia="zh-CN"/>
        </w:rPr>
        <w:t>目录</w:t>
      </w:r>
    </w:p>
    <w:p>
      <w:pPr>
        <w:spacing w:line="580" w:lineRule="exact"/>
        <w:jc w:val="center"/>
        <w:outlineLvl w:val="1"/>
        <w:rPr>
          <w:b/>
          <w:kern w:val="0"/>
          <w:sz w:val="44"/>
          <w:szCs w:val="44"/>
          <w:lang w:val="en-US" w:eastAsia="zh-CN"/>
        </w:rPr>
      </w:pPr>
    </w:p>
    <w:p>
      <w:pPr>
        <w:spacing w:line="580" w:lineRule="exact"/>
        <w:ind w:firstLine="156" w:firstLineChars="49"/>
        <w:jc w:val="both"/>
        <w:outlineLvl w:val="9"/>
        <w:rPr>
          <w:rFonts w:ascii="Times New Roman" w:hAnsi="Times New Roman" w:eastAsia="楷体_GB2312" w:cs="Times New Roman"/>
          <w:b/>
          <w:kern w:val="0"/>
          <w:sz w:val="32"/>
          <w:szCs w:val="32"/>
          <w:lang w:val="en-US" w:eastAsia="zh-CN"/>
        </w:rPr>
      </w:pPr>
      <w:r>
        <w:rPr>
          <w:rFonts w:ascii="Times New Roman" w:hAnsi="Times New Roman" w:eastAsia="楷体_GB2312" w:cs="Times New Roman"/>
          <w:b/>
          <w:kern w:val="0"/>
          <w:sz w:val="32"/>
          <w:szCs w:val="32"/>
          <w:lang w:val="en-US" w:eastAsia="zh-CN"/>
        </w:rPr>
        <w:t>第一部分  单位概况</w:t>
      </w:r>
    </w:p>
    <w:p>
      <w:pPr>
        <w:spacing w:line="580" w:lineRule="exact"/>
        <w:ind w:firstLine="784" w:firstLineChars="245"/>
        <w:jc w:val="both"/>
        <w:outlineLvl w:val="9"/>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kern w:val="0"/>
          <w:sz w:val="32"/>
          <w:szCs w:val="32"/>
          <w:lang w:val="en-US" w:eastAsia="zh-CN"/>
        </w:rPr>
        <w:t>一、部门职责</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二、机构设置</w:t>
      </w:r>
    </w:p>
    <w:p>
      <w:pPr>
        <w:spacing w:before="156" w:beforeLines="50" w:line="580" w:lineRule="exact"/>
        <w:ind w:firstLine="156" w:firstLineChars="49"/>
        <w:jc w:val="both"/>
        <w:outlineLvl w:val="9"/>
        <w:rPr>
          <w:rFonts w:ascii="Times New Roman" w:hAnsi="Times New Roman" w:eastAsia="楷体_GB2312" w:cs="Times New Roman"/>
          <w:b/>
          <w:kern w:val="0"/>
          <w:sz w:val="32"/>
          <w:szCs w:val="32"/>
          <w:lang w:val="en-US" w:eastAsia="zh-CN"/>
        </w:rPr>
      </w:pPr>
      <w:r>
        <w:rPr>
          <w:rFonts w:ascii="Times New Roman" w:hAnsi="Times New Roman" w:eastAsia="楷体_GB2312" w:cs="Times New Roman"/>
          <w:b/>
          <w:kern w:val="0"/>
          <w:sz w:val="32"/>
          <w:szCs w:val="32"/>
          <w:lang w:val="en-US" w:eastAsia="zh-CN"/>
        </w:rPr>
        <w:t>第二部分  2023年度部门决算表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一、收入支出决算总表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二、收入决算表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三、支出决算表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四、财政拨款收入支出决算总表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五、一般公共预算财政拨款支出决算表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六、一般公共预算财政拨款基本支出决算明细表</w:t>
      </w:r>
    </w:p>
    <w:p>
      <w:pPr>
        <w:spacing w:line="580" w:lineRule="exact"/>
        <w:ind w:firstLine="83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pacing w:val="6"/>
          <w:sz w:val="32"/>
          <w:szCs w:val="32"/>
          <w:lang w:val="en-US" w:eastAsia="zh-CN"/>
        </w:rPr>
        <w:t>七</w:t>
      </w:r>
      <w:r>
        <w:rPr>
          <w:rFonts w:ascii="Times New Roman" w:hAnsi="Times New Roman" w:eastAsia="仿宋_GB2312" w:cs="Times New Roman"/>
          <w:sz w:val="32"/>
          <w:szCs w:val="32"/>
          <w:lang w:val="en-US" w:eastAsia="zh-CN"/>
        </w:rPr>
        <w:t>、财政拨款“三公”经费支出决算表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八、政府性基金预算财政拨款收入支出决算表</w:t>
      </w:r>
    </w:p>
    <w:p>
      <w:pPr>
        <w:spacing w:line="580" w:lineRule="exact"/>
        <w:ind w:firstLine="800" w:firstLineChars="250"/>
        <w:jc w:val="both"/>
        <w:outlineLvl w:val="9"/>
        <w:rPr>
          <w:rFonts w:ascii="Times New Roman" w:hAnsi="Times New Roman" w:eastAsia="仿宋_GB2312" w:cs="Times New Roman"/>
          <w:sz w:val="32"/>
          <w:szCs w:val="32"/>
          <w:lang w:val="en-US" w:eastAsia="zh-CN"/>
        </w:rPr>
      </w:pPr>
      <w:r>
        <w:rPr>
          <w:rFonts w:ascii="Times New Roman" w:hAnsi="Times New Roman" w:eastAsia="仿宋_GB2312" w:cs="Times New Roman"/>
          <w:sz w:val="32"/>
          <w:szCs w:val="32"/>
          <w:lang w:val="en-US" w:eastAsia="zh-CN"/>
        </w:rPr>
        <w:t>九、国有资本经营预算财政拨款支出决算表</w:t>
      </w:r>
    </w:p>
    <w:p>
      <w:pPr>
        <w:spacing w:before="156" w:beforeLines="50" w:line="580" w:lineRule="exact"/>
        <w:ind w:firstLine="156" w:firstLineChars="49"/>
        <w:jc w:val="both"/>
        <w:outlineLvl w:val="9"/>
        <w:rPr>
          <w:rFonts w:ascii="Times New Roman" w:hAnsi="Times New Roman" w:eastAsia="楷体_GB2312" w:cs="Times New Roman"/>
          <w:b/>
          <w:kern w:val="0"/>
          <w:sz w:val="32"/>
          <w:szCs w:val="32"/>
          <w:lang w:val="en-US" w:eastAsia="zh-CN"/>
        </w:rPr>
      </w:pPr>
      <w:r>
        <w:rPr>
          <w:rFonts w:ascii="Times New Roman" w:hAnsi="Times New Roman" w:eastAsia="楷体_GB2312" w:cs="Times New Roman"/>
          <w:b/>
          <w:kern w:val="0"/>
          <w:sz w:val="32"/>
          <w:szCs w:val="32"/>
          <w:lang w:val="en-US" w:eastAsia="zh-CN"/>
        </w:rPr>
        <w:t>第三部分  2023年度部门决算情况说明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一、收入支出决算总体情况说明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二、收入决算情况说明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三、支出决算情况说明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四、财政拨款收入支出决算总体情况说明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五、一般公共预算财政拨款支出决算情况说明</w:t>
      </w:r>
    </w:p>
    <w:p>
      <w:pPr>
        <w:spacing w:line="580" w:lineRule="exact"/>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 xml:space="preserve">     六、一般公共预算财政拨款基本支出决算情况说明</w:t>
      </w:r>
    </w:p>
    <w:p>
      <w:pPr>
        <w:spacing w:line="580" w:lineRule="exact"/>
        <w:ind w:firstLine="700" w:firstLineChars="250"/>
        <w:jc w:val="both"/>
        <w:outlineLvl w:val="9"/>
        <w:rPr>
          <w:rFonts w:ascii="Times New Roman" w:hAnsi="Times New Roman" w:eastAsia="仿宋_GB2312" w:cs="Times New Roman"/>
          <w:spacing w:val="-20"/>
          <w:kern w:val="0"/>
          <w:sz w:val="32"/>
          <w:szCs w:val="32"/>
          <w:lang w:val="en-US" w:eastAsia="zh-CN"/>
        </w:rPr>
      </w:pPr>
      <w:r>
        <w:rPr>
          <w:rFonts w:ascii="Times New Roman" w:hAnsi="Times New Roman" w:eastAsia="仿宋_GB2312" w:cs="Times New Roman"/>
          <w:spacing w:val="-20"/>
          <w:kern w:val="0"/>
          <w:sz w:val="32"/>
          <w:szCs w:val="32"/>
          <w:lang w:val="en-US" w:eastAsia="zh-CN"/>
        </w:rPr>
        <w:t xml:space="preserve"> 七、</w:t>
      </w:r>
      <w:r>
        <w:rPr>
          <w:rFonts w:ascii="Times New Roman" w:hAnsi="Times New Roman" w:eastAsia="仿宋_GB2312" w:cs="Times New Roman"/>
          <w:spacing w:val="0"/>
          <w:kern w:val="0"/>
          <w:sz w:val="32"/>
          <w:szCs w:val="32"/>
          <w:lang w:val="en-US" w:eastAsia="zh-CN"/>
        </w:rPr>
        <w:t>财政拨款“三公”经费支出决算情况说明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八、政府性基金预算财政拨款收入支出决算情况说明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九、国有资本经营预算财政拨款支出情况说明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十、其他重要事项的情况说明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（一）机关运行经费支出情况说明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（二）政府采购情况说明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（三）国有资产占有使用情况说明</w:t>
      </w:r>
    </w:p>
    <w:p>
      <w:pPr>
        <w:spacing w:line="580" w:lineRule="exact"/>
        <w:ind w:firstLine="800" w:firstLineChars="250"/>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（四）预算绩效管理工作开展情况说明</w:t>
      </w:r>
    </w:p>
    <w:p>
      <w:pPr>
        <w:spacing w:after="156" w:afterLines="50" w:line="580" w:lineRule="exact"/>
        <w:ind w:firstLine="313" w:firstLineChars="98"/>
        <w:jc w:val="both"/>
        <w:outlineLvl w:val="9"/>
        <w:rPr>
          <w:rFonts w:ascii="Times New Roman" w:hAnsi="Times New Roman" w:eastAsia="楷体_GB2312" w:cs="Times New Roman"/>
          <w:b/>
          <w:kern w:val="0"/>
          <w:sz w:val="32"/>
          <w:szCs w:val="32"/>
          <w:lang w:val="en-US" w:eastAsia="zh-CN"/>
        </w:rPr>
      </w:pPr>
      <w:r>
        <w:rPr>
          <w:rFonts w:ascii="Times New Roman" w:hAnsi="Times New Roman" w:eastAsia="楷体_GB2312" w:cs="Times New Roman"/>
          <w:b/>
          <w:kern w:val="0"/>
          <w:sz w:val="32"/>
          <w:szCs w:val="32"/>
          <w:lang w:val="en-US" w:eastAsia="zh-CN"/>
        </w:rPr>
        <w:t>第四部分  名词解释</w:t>
      </w:r>
    </w:p>
    <w:p>
      <w:pPr>
        <w:spacing w:after="156" w:afterLines="50" w:line="580" w:lineRule="exact"/>
        <w:ind w:firstLine="313" w:firstLineChars="98"/>
        <w:jc w:val="both"/>
        <w:outlineLvl w:val="9"/>
        <w:rPr>
          <w:rFonts w:hint="eastAsia"/>
          <w:lang w:val="en-US" w:eastAsia="zh-CN"/>
        </w:rPr>
      </w:pPr>
      <w:r>
        <w:rPr>
          <w:rFonts w:ascii="Times New Roman" w:hAnsi="Times New Roman" w:eastAsia="楷体_GB2312" w:cs="Times New Roman"/>
          <w:b/>
          <w:kern w:val="0"/>
          <w:sz w:val="32"/>
          <w:szCs w:val="32"/>
          <w:lang w:val="en-US" w:eastAsia="zh-CN"/>
        </w:rPr>
        <w:t>第五部分  附件</w:t>
      </w:r>
    </w:p>
    <w:p>
      <w:pPr>
        <w:spacing w:before="156" w:beforeLines="50" w:line="580" w:lineRule="exact"/>
        <w:ind w:firstLine="176" w:firstLineChars="49"/>
        <w:jc w:val="center"/>
        <w:outlineLvl w:val="1"/>
        <w:rPr>
          <w:rFonts w:hint="eastAsia" w:ascii="黑体" w:hAnsi="黑体" w:eastAsia="黑体" w:cs="黑体"/>
          <w:b w:val="0"/>
          <w:kern w:val="0"/>
          <w:sz w:val="36"/>
          <w:szCs w:val="36"/>
          <w:lang w:val="en-US" w:eastAsia="zh-CN"/>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AndChars" w:linePitch="321" w:charSpace="0"/>
        </w:sectPr>
      </w:pPr>
    </w:p>
    <w:p>
      <w:pPr>
        <w:spacing w:before="156" w:beforeLines="50" w:line="580" w:lineRule="exact"/>
        <w:ind w:firstLine="176" w:firstLineChars="49"/>
        <w:jc w:val="center"/>
        <w:outlineLvl w:val="1"/>
        <w:rPr>
          <w:rFonts w:hint="eastAsia" w:ascii="黑体" w:hAnsi="黑体" w:eastAsia="黑体" w:cs="黑体"/>
          <w:b w:val="0"/>
          <w:kern w:val="0"/>
          <w:sz w:val="36"/>
          <w:szCs w:val="36"/>
          <w:lang w:val="en-US" w:eastAsia="zh-CN"/>
        </w:rPr>
      </w:pPr>
      <w:r>
        <w:rPr>
          <w:rFonts w:hint="eastAsia" w:ascii="黑体" w:hAnsi="黑体" w:eastAsia="黑体" w:cs="黑体"/>
          <w:b w:val="0"/>
          <w:kern w:val="0"/>
          <w:sz w:val="36"/>
          <w:szCs w:val="36"/>
          <w:lang w:val="en-US" w:eastAsia="zh-CN"/>
        </w:rPr>
        <w:t>第一部分  部门概况</w:t>
      </w:r>
    </w:p>
    <w:p>
      <w:pPr>
        <w:widowControl/>
        <w:spacing w:line="560" w:lineRule="exact"/>
        <w:jc w:val="left"/>
        <w:rPr>
          <w:rFonts w:ascii="Times New Roman" w:hAnsi="Times New Roman" w:eastAsia="黑体" w:cs="Times New Roman"/>
          <w:b/>
          <w:bCs/>
          <w:kern w:val="0"/>
          <w:sz w:val="32"/>
          <w:szCs w:val="32"/>
          <w:lang w:val="en-US" w:eastAsia="zh-CN"/>
        </w:rPr>
      </w:pPr>
      <w:r>
        <w:rPr>
          <w:rFonts w:ascii="Times New Roman" w:hAnsi="Times New Roman" w:eastAsia="仿宋_GB2312" w:cs="Times New Roman"/>
          <w:bCs/>
          <w:kern w:val="0"/>
          <w:sz w:val="32"/>
          <w:szCs w:val="32"/>
          <w:lang w:val="en-US" w:eastAsia="zh-CN"/>
        </w:rPr>
        <w:t xml:space="preserve"> </w:t>
      </w:r>
    </w:p>
    <w:p>
      <w:pPr>
        <w:widowControl/>
        <w:spacing w:line="560" w:lineRule="exact"/>
        <w:ind w:firstLine="480"/>
        <w:jc w:val="left"/>
        <w:rPr>
          <w:rFonts w:ascii="Times New Roman" w:hAnsi="Times New Roman" w:eastAsia="黑体" w:cs="Times New Roman"/>
          <w:b w:val="0"/>
          <w:bCs/>
          <w:kern w:val="0"/>
          <w:sz w:val="32"/>
          <w:szCs w:val="32"/>
          <w:lang w:val="en-US" w:eastAsia="zh-CN"/>
        </w:rPr>
      </w:pPr>
      <w:r>
        <w:rPr>
          <w:rFonts w:ascii="Times New Roman" w:hAnsi="Times New Roman" w:eastAsia="楷体_GB2312" w:cs="Times New Roman"/>
          <w:b/>
          <w:bCs w:val="0"/>
          <w:kern w:val="0"/>
          <w:sz w:val="32"/>
          <w:szCs w:val="32"/>
          <w:lang w:val="en-US" w:eastAsia="zh-CN"/>
        </w:rPr>
        <w:t>一、部门职责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bCs/>
          <w:kern w:val="0"/>
          <w:sz w:val="32"/>
          <w:szCs w:val="32"/>
          <w:lang w:val="en-US" w:eastAsia="zh-CN"/>
        </w:rPr>
      </w:pPr>
      <w:r>
        <w:rPr>
          <w:rFonts w:hint="eastAsia" w:ascii="仿宋" w:hAnsi="仿宋" w:eastAsia="仿宋"/>
          <w:color w:val="000000"/>
          <w:sz w:val="32"/>
          <w:szCs w:val="24"/>
          <w:highlight w:val="white"/>
          <w:lang w:val="en-US" w:eastAsia="zh-CN"/>
        </w:rPr>
        <w:t>宁夏回族自治区吴忠市利通区扁担沟镇人民政府单位</w:t>
      </w:r>
      <w:r>
        <w:rPr>
          <w:rFonts w:hint="eastAsia" w:ascii="仿宋" w:hAnsi="仿宋" w:eastAsia="仿宋"/>
          <w:sz w:val="32"/>
          <w:szCs w:val="32"/>
          <w:lang w:val="en-US" w:eastAsia="zh-CN"/>
        </w:rPr>
        <w:t>的主要职责是：吴忠市利通区扁担沟镇人民政府本机是制定和组织实施经济、科技和社会发展计划，制定并组织实施村镇建设规划，部署重点工程建设，负责本行政区域内的民政、计划生育、文化教育、卫生、体育等社会公益事业的综合性工作，全面提高人民群众的生活水平和生活质量。 其主要职责：认真贯彻落实党在农村的各项方针政策，落实支农惠农的各项政策措施;认真宣传执行国家的各项法律法规，加强农村法制宣传教育和法律服务，制定并组织实施好乡村整体规划和经济发展规划;加强农村公益性基础设施建设与管理，做好村民自治、社区建设、人口和计划生育、宗教事务管理等各项工作；加强教育、文化、卫生、体育等社会事业建设；健全农业服务体系，为农民群众和市场主体提供政策、科技、信息服务；搞好资源节约，保护和建设农村生态环境；加强基层精神文明和民主法制建设，提高农民的思想道德、科学文化和健康素质;建立和完善社会保障体系，推进农村养老保险、社会救助和最低生活保障等制度建设，做好五保供养和鳏寡孤独、残疾人及农村贫困人口救助工作，提高保障公共安全的能力；加强安全生产监管，保护群众的生命财产安全；推进平安建设，做好农村信访工作，加强各类矛盾纠纷调解，防范和妥善处理各类突发性、群体性事件；强化社会治安综合治理，维护社会稳定，保障农民群众安居乐业;加强镇级财政的监督和管理，按计划组织、管理镇财政收入和支出，执行国家有关财经纪律和政策，保证镇财政收入的完成。 　</w:t>
      </w:r>
      <w:r>
        <w:rPr>
          <w:rFonts w:ascii="Times New Roman" w:hAnsi="Times New Roman" w:eastAsia="仿宋_GB2312" w:cs="Times New Roman"/>
          <w:bCs/>
          <w:kern w:val="0"/>
          <w:sz w:val="32"/>
          <w:szCs w:val="32"/>
          <w:lang w:val="en-US" w:eastAsia="zh-CN"/>
        </w:rPr>
        <w:t xml:space="preserve"> </w:t>
      </w:r>
    </w:p>
    <w:p>
      <w:pPr>
        <w:widowControl/>
        <w:spacing w:line="560" w:lineRule="exact"/>
        <w:ind w:firstLine="480"/>
        <w:jc w:val="left"/>
        <w:rPr>
          <w:rFonts w:ascii="Times New Roman" w:hAnsi="Times New Roman" w:eastAsia="楷体_GB2312" w:cs="Times New Roman"/>
          <w:b/>
          <w:bCs/>
          <w:kern w:val="0"/>
          <w:sz w:val="32"/>
          <w:szCs w:val="32"/>
          <w:lang w:val="en-US" w:eastAsia="zh-CN"/>
        </w:rPr>
      </w:pPr>
      <w:r>
        <w:rPr>
          <w:rFonts w:ascii="Times New Roman" w:hAnsi="Times New Roman" w:eastAsia="楷体_GB2312" w:cs="Times New Roman"/>
          <w:b/>
          <w:bCs/>
          <w:kern w:val="0"/>
          <w:sz w:val="32"/>
          <w:szCs w:val="32"/>
          <w:lang w:val="en-US" w:eastAsia="zh-CN"/>
        </w:rPr>
        <w:t>二、机构设置</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bCs/>
          <w:kern w:val="0"/>
          <w:sz w:val="32"/>
          <w:szCs w:val="32"/>
          <w:lang w:val="en-US" w:eastAsia="zh-CN"/>
        </w:rPr>
      </w:pPr>
      <w:r>
        <w:rPr>
          <w:rFonts w:ascii="Times New Roman" w:hAnsi="Times New Roman" w:eastAsia="仿宋_GB2312" w:cs="Times New Roman"/>
          <w:bCs/>
          <w:kern w:val="0"/>
          <w:sz w:val="32"/>
          <w:szCs w:val="32"/>
          <w:lang w:val="en-US" w:eastAsia="zh-CN"/>
        </w:rPr>
        <w:t>对本部门（单位）及所属预算单位构成进行详细说明。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按照部门决算编报要求，纳入宁夏回族自治区吴忠市利通区扁担沟镇人民政府2023年度部门决算编报范围的单位共</w:t>
      </w:r>
      <w:r>
        <w:rPr>
          <w:rFonts w:hint="eastAsia" w:ascii="仿宋" w:hAnsi="仿宋" w:eastAsia="仿宋"/>
          <w:sz w:val="32"/>
          <w:szCs w:val="32"/>
          <w:lang w:val="en-US" w:eastAsia="zh-CN"/>
        </w:rPr>
        <w:t>1</w:t>
      </w:r>
      <w:r>
        <w:rPr>
          <w:rFonts w:ascii="Times New Roman" w:hAnsi="Times New Roman" w:eastAsia="仿宋_GB2312" w:cs="Times New Roman"/>
          <w:kern w:val="0"/>
          <w:sz w:val="32"/>
          <w:szCs w:val="32"/>
          <w:lang w:val="en-US" w:eastAsia="zh-CN"/>
        </w:rPr>
        <w:t>个，</w:t>
      </w:r>
      <w:r>
        <w:rPr>
          <w:rFonts w:hint="eastAsia" w:ascii="Times New Roman" w:hAnsi="Times New Roman" w:eastAsia="仿宋_GB2312" w:cs="Times New Roman"/>
          <w:kern w:val="0"/>
          <w:sz w:val="32"/>
          <w:szCs w:val="32"/>
          <w:lang w:val="en-US" w:eastAsia="zh-CN"/>
        </w:rPr>
        <w:t>无</w:t>
      </w:r>
      <w:r>
        <w:rPr>
          <w:rFonts w:ascii="Times New Roman" w:hAnsi="Times New Roman" w:eastAsia="仿宋_GB2312" w:cs="Times New Roman"/>
          <w:kern w:val="0"/>
          <w:sz w:val="32"/>
          <w:szCs w:val="32"/>
          <w:lang w:val="en-US" w:eastAsia="zh-CN"/>
        </w:rPr>
        <w:t>二级预算单位。</w:t>
      </w:r>
    </w:p>
    <w:p>
      <w:pPr>
        <w:widowControl/>
        <w:spacing w:line="560" w:lineRule="exact"/>
        <w:jc w:val="left"/>
        <w:rPr>
          <w:rFonts w:ascii="Times New Roman" w:hAnsi="Times New Roman" w:eastAsia="仿宋_GB2312" w:cs="Times New Roman"/>
          <w:kern w:val="0"/>
          <w:sz w:val="32"/>
          <w:szCs w:val="32"/>
          <w:lang w:val="en-US" w:eastAsia="zh-CN"/>
        </w:rPr>
      </w:pPr>
      <w:r>
        <w:rPr>
          <w:rFonts w:hint="eastAsia" w:ascii="仿宋" w:hAnsi="仿宋" w:eastAsia="仿宋"/>
          <w:sz w:val="32"/>
          <w:szCs w:val="32"/>
          <w:lang w:val="en-US" w:eastAsia="zh-CN"/>
        </w:rPr>
        <w:t xml:space="preserve"> </w:t>
      </w:r>
      <w:r>
        <w:rPr>
          <w:rFonts w:hint="eastAsia" w:ascii="Times New Roman" w:hAnsi="Times New Roman" w:eastAsia="仿宋_GB2312" w:cs="Times New Roman"/>
          <w:kern w:val="0"/>
          <w:sz w:val="32"/>
          <w:szCs w:val="32"/>
          <w:lang w:val="en-US" w:eastAsia="zh-CN"/>
        </w:rPr>
        <w:t xml:space="preserve">   下设综合办公室、党建办公室、经济发展办公室、社会事务管理办公室、综合执法办公室、民生服务中心、农业综合服务中心、综治中心、财经服务中心。</w:t>
      </w:r>
    </w:p>
    <w:p>
      <w:pPr>
        <w:jc w:val="both"/>
        <w:rPr>
          <w:rFonts w:hint="eastAsia" w:ascii="黑体" w:hAnsi="黑体" w:eastAsia="黑体" w:cs="黑体"/>
          <w:b w:val="0"/>
          <w:kern w:val="0"/>
          <w:sz w:val="36"/>
          <w:szCs w:val="36"/>
          <w:lang w:val="en-US" w:eastAsia="zh-CN"/>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rtlGutter w:val="0"/>
          <w:docGrid w:type="linesAndChars" w:linePitch="321" w:charSpace="0"/>
        </w:sectPr>
      </w:pPr>
    </w:p>
    <w:p>
      <w:pPr>
        <w:jc w:val="both"/>
        <w:rPr>
          <w:rFonts w:hint="eastAsia" w:ascii="黑体" w:hAnsi="黑体" w:eastAsia="黑体" w:cs="黑体"/>
          <w:b w:val="0"/>
          <w:kern w:val="0"/>
          <w:sz w:val="36"/>
          <w:szCs w:val="36"/>
          <w:lang w:val="en-US" w:eastAsia="zh-CN"/>
        </w:rPr>
      </w:pPr>
    </w:p>
    <w:p>
      <w:pPr>
        <w:spacing w:before="156" w:beforeLines="50" w:line="580" w:lineRule="exact"/>
        <w:jc w:val="center"/>
        <w:outlineLvl w:val="1"/>
        <w:rPr>
          <w:rFonts w:hint="eastAsia" w:ascii="黑体" w:hAnsi="黑体" w:eastAsia="黑体" w:cs="黑体"/>
          <w:b w:val="0"/>
          <w:kern w:val="0"/>
          <w:sz w:val="36"/>
          <w:szCs w:val="36"/>
          <w:lang w:val="en-US" w:eastAsia="zh-CN"/>
        </w:rPr>
      </w:pPr>
      <w:r>
        <w:rPr>
          <w:rFonts w:hint="eastAsia" w:ascii="黑体" w:hAnsi="黑体" w:eastAsia="黑体" w:cs="黑体"/>
          <w:b w:val="0"/>
          <w:kern w:val="0"/>
          <w:sz w:val="36"/>
          <w:szCs w:val="36"/>
          <w:lang w:val="en-US" w:eastAsia="zh-CN"/>
        </w:rPr>
        <w:t>第二部分 2023年度部门决算表</w:t>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620"/>
        <w:gridCol w:w="620"/>
        <w:gridCol w:w="2460"/>
        <w:gridCol w:w="4620"/>
        <w:gridCol w:w="620"/>
        <w:gridCol w:w="2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gridSpan w:val="3"/>
            <w:noWrap w:val="0"/>
            <w:vAlign w:val="center"/>
          </w:tcPr>
          <w:p>
            <w:pPr>
              <w:jc w:val="center"/>
              <w:rPr>
                <w:lang w:val="en-US" w:eastAsia="zh-CN"/>
              </w:rPr>
            </w:pPr>
            <w:r>
              <w:rPr>
                <w:rFonts w:ascii="宋体" w:hAnsi="宋体" w:eastAsia="宋体" w:cs="宋体"/>
                <w:b w:val="0"/>
                <w:i w:val="0"/>
                <w:color w:val="000000"/>
                <w:sz w:val="23"/>
                <w:lang w:val="en-US" w:eastAsia="zh-CN"/>
              </w:rPr>
              <w:t>收入</w:t>
            </w:r>
          </w:p>
        </w:tc>
        <w:tc>
          <w:tcPr>
            <w:tcW w:w="4620" w:type="dxa"/>
            <w:gridSpan w:val="3"/>
            <w:noWrap w:val="0"/>
            <w:vAlign w:val="center"/>
          </w:tcPr>
          <w:p>
            <w:pPr>
              <w:jc w:val="center"/>
              <w:rPr>
                <w:lang w:val="en-US" w:eastAsia="zh-CN"/>
              </w:rPr>
            </w:pPr>
            <w:r>
              <w:rPr>
                <w:rFonts w:ascii="宋体" w:hAnsi="宋体" w:eastAsia="宋体" w:cs="宋体"/>
                <w:b w:val="0"/>
                <w:i w:val="0"/>
                <w:color w:val="000000"/>
                <w:sz w:val="23"/>
                <w:lang w:val="en-US" w:eastAsia="zh-CN"/>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项目</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行次</w:t>
            </w:r>
          </w:p>
        </w:tc>
        <w:tc>
          <w:tcPr>
            <w:tcW w:w="24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金额</w:t>
            </w:r>
          </w:p>
        </w:tc>
        <w:tc>
          <w:tcPr>
            <w:tcW w:w="4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项目</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行次</w:t>
            </w:r>
          </w:p>
        </w:tc>
        <w:tc>
          <w:tcPr>
            <w:tcW w:w="245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栏次</w:t>
            </w:r>
          </w:p>
        </w:tc>
        <w:tc>
          <w:tcPr>
            <w:tcW w:w="620" w:type="dxa"/>
            <w:tcBorders>
              <w:tl2br w:val="nil"/>
              <w:tr2bl w:val="nil"/>
            </w:tcBorders>
            <w:noWrap w:val="0"/>
            <w:vAlign w:val="center"/>
          </w:tcPr>
          <w:p>
            <w:pPr>
              <w:jc w:val="both"/>
              <w:rPr>
                <w:lang w:val="en-US" w:eastAsia="zh-CN"/>
              </w:rPr>
            </w:pPr>
          </w:p>
        </w:tc>
        <w:tc>
          <w:tcPr>
            <w:tcW w:w="24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w:t>
            </w:r>
          </w:p>
        </w:tc>
        <w:tc>
          <w:tcPr>
            <w:tcW w:w="4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栏次</w:t>
            </w:r>
          </w:p>
        </w:tc>
        <w:tc>
          <w:tcPr>
            <w:tcW w:w="620" w:type="dxa"/>
            <w:tcBorders>
              <w:tl2br w:val="nil"/>
              <w:tr2bl w:val="nil"/>
            </w:tcBorders>
            <w:noWrap w:val="0"/>
            <w:vAlign w:val="center"/>
          </w:tcPr>
          <w:p>
            <w:pPr>
              <w:jc w:val="both"/>
              <w:rPr>
                <w:lang w:val="en-US" w:eastAsia="zh-CN"/>
              </w:rPr>
            </w:pPr>
          </w:p>
        </w:tc>
        <w:tc>
          <w:tcPr>
            <w:tcW w:w="245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一、一般公共预算财政拨款收入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91,286,215.95</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一、一般公共服务支出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32</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11,980,657.92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二、政府性基金预算财政拨款收入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5,037,857.20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二、外交支出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33</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三、国有资本经营预算财政拨款收入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三、国防支出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34</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四、上级补助收入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四、公共安全支出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35</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60,485.75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五、事业收入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五、教育支出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36</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300,000.00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六、经营收入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6</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六、科学技术支出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37</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七、附属单位上缴收入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7</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七、文化旅游体育与传媒支出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38</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142,940.00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八、其他收入</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8</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14,445,729.76</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八、社会保障和就业支出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39</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2,707,582.92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9</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九、卫生健康支出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40</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1,055,902.42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10</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十、节能环保支出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41</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14,829,500.00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11</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十一、城乡社区支出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42</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10,444,202.72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12</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十二、农林水支出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43</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69,816,648.77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13</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十三、交通运输支出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44</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14</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十四、资源勘探工业信息等支出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45</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15</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十五、商业服务业等支出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46</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16</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十六、金融支出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47</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17</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十七、援助其他地区支出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48</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18</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十八、自然资源海洋气象等支出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49</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19</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十九、住房保障支出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50</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1,163,570.80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20</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二十、粮油物资储备支出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51</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21</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二十一、国有资本经营预算支出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52</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22</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二十二、灾害防治及应急管理支出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53</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227,050.00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23</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二十三、其他支出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54</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334,189.66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24</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二十四、债务还本支出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55</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25</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二十五、债务付息支出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56</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26</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二十六、抗疫特别国债安排的支出</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57</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center"/>
              <w:rPr>
                <w:lang w:val="en-US" w:eastAsia="zh-CN"/>
              </w:rPr>
            </w:pPr>
            <w:r>
              <w:rPr>
                <w:rFonts w:ascii="宋体" w:hAnsi="宋体" w:eastAsia="宋体" w:cs="宋体"/>
                <w:b/>
                <w:i w:val="0"/>
                <w:color w:val="000000"/>
                <w:sz w:val="23"/>
                <w:lang w:val="en-US" w:eastAsia="zh-CN"/>
              </w:rPr>
              <w:t>本年收入合计</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27</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110,769,802.91</w:t>
            </w:r>
          </w:p>
        </w:tc>
        <w:tc>
          <w:tcPr>
            <w:tcW w:w="4620" w:type="dxa"/>
            <w:tcBorders>
              <w:tl2br w:val="nil"/>
              <w:tr2bl w:val="nil"/>
            </w:tcBorders>
            <w:noWrap w:val="0"/>
            <w:vAlign w:val="center"/>
          </w:tcPr>
          <w:p>
            <w:pPr>
              <w:jc w:val="center"/>
              <w:rPr>
                <w:lang w:val="en-US" w:eastAsia="zh-CN"/>
              </w:rPr>
            </w:pPr>
            <w:r>
              <w:rPr>
                <w:rFonts w:ascii="宋体" w:hAnsi="宋体" w:eastAsia="宋体" w:cs="宋体"/>
                <w:b/>
                <w:i w:val="0"/>
                <w:color w:val="000000"/>
                <w:sz w:val="23"/>
                <w:lang w:val="en-US" w:eastAsia="zh-CN"/>
              </w:rPr>
              <w:t>本年支出合计</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58</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113,062,730.96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使用非财政拨款结余和专用结余</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28</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结余分配</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59</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年初结转和结余</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29</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11,422,277.27</w:t>
            </w:r>
          </w:p>
        </w:tc>
        <w:tc>
          <w:tcPr>
            <w:tcW w:w="4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年末结转和结余</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60</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9,129,349.22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30</w:t>
            </w:r>
          </w:p>
        </w:tc>
        <w:tc>
          <w:tcPr>
            <w:tcW w:w="2460" w:type="dxa"/>
            <w:tcBorders>
              <w:tl2br w:val="nil"/>
              <w:tr2bl w:val="nil"/>
            </w:tcBorders>
            <w:noWrap w:val="0"/>
            <w:vAlign w:val="center"/>
          </w:tcPr>
          <w:p>
            <w:pPr>
              <w:jc w:val="both"/>
              <w:rPr>
                <w:lang w:val="en-US" w:eastAsia="zh-CN"/>
              </w:rPr>
            </w:pPr>
          </w:p>
        </w:tc>
        <w:tc>
          <w:tcPr>
            <w:tcW w:w="462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61</w:t>
            </w:r>
          </w:p>
        </w:tc>
        <w:tc>
          <w:tcPr>
            <w:tcW w:w="245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tcBorders>
              <w:tl2br w:val="nil"/>
              <w:tr2bl w:val="nil"/>
            </w:tcBorders>
            <w:noWrap w:val="0"/>
            <w:vAlign w:val="center"/>
          </w:tcPr>
          <w:p>
            <w:pPr>
              <w:jc w:val="center"/>
              <w:rPr>
                <w:lang w:val="en-US" w:eastAsia="zh-CN"/>
              </w:rPr>
            </w:pPr>
            <w:r>
              <w:rPr>
                <w:rFonts w:ascii="宋体" w:hAnsi="宋体" w:eastAsia="宋体" w:cs="宋体"/>
                <w:b/>
                <w:i w:val="0"/>
                <w:color w:val="000000"/>
                <w:sz w:val="23"/>
                <w:lang w:val="en-US" w:eastAsia="zh-CN"/>
              </w:rPr>
              <w:t>总计</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31</w:t>
            </w:r>
          </w:p>
        </w:tc>
        <w:tc>
          <w:tcPr>
            <w:tcW w:w="24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122,192,080.18</w:t>
            </w:r>
          </w:p>
        </w:tc>
        <w:tc>
          <w:tcPr>
            <w:tcW w:w="4620" w:type="dxa"/>
            <w:tcBorders>
              <w:tl2br w:val="nil"/>
              <w:tr2bl w:val="nil"/>
            </w:tcBorders>
            <w:noWrap w:val="0"/>
            <w:vAlign w:val="center"/>
          </w:tcPr>
          <w:p>
            <w:pPr>
              <w:jc w:val="center"/>
              <w:rPr>
                <w:lang w:val="en-US" w:eastAsia="zh-CN"/>
              </w:rPr>
            </w:pPr>
            <w:r>
              <w:rPr>
                <w:rFonts w:ascii="宋体" w:hAnsi="宋体" w:eastAsia="宋体" w:cs="宋体"/>
                <w:b/>
                <w:i w:val="0"/>
                <w:color w:val="000000"/>
                <w:sz w:val="23"/>
                <w:lang w:val="en-US" w:eastAsia="zh-CN"/>
              </w:rPr>
              <w:t>总计</w:t>
            </w:r>
          </w:p>
        </w:tc>
        <w:tc>
          <w:tcPr>
            <w:tcW w:w="6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3"/>
                <w:lang w:val="en-US" w:eastAsia="zh-CN"/>
              </w:rPr>
              <w:t>62</w:t>
            </w:r>
          </w:p>
        </w:tc>
        <w:tc>
          <w:tcPr>
            <w:tcW w:w="24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3"/>
                <w:lang w:val="en-US" w:eastAsia="zh-CN"/>
              </w:rPr>
              <w:t>122,192,080.18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2" w:hRule="exact"/>
          <w:jc w:val="center"/>
        </w:trPr>
        <w:tc>
          <w:tcPr>
            <w:tcW w:w="4620" w:type="dxa"/>
            <w:gridSpan w:val="6"/>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注：1.本表反映部门本年度的总收支和年末结转结余情况。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2" w:hRule="exact"/>
          <w:jc w:val="center"/>
        </w:trPr>
        <w:tc>
          <w:tcPr>
            <w:tcW w:w="4620" w:type="dxa"/>
            <w:gridSpan w:val="6"/>
            <w:tcBorders>
              <w:top w:val="single" w:color="FFFFFF" w:sz="4" w:space="0"/>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3"/>
                <w:lang w:val="en-US" w:eastAsia="zh-CN"/>
              </w:rPr>
              <w:t xml:space="preserve">    2.本套报表金额单位转换时可能存在尾数误差。</w:t>
            </w:r>
          </w:p>
        </w:tc>
      </w:tr>
    </w:tbl>
    <w:p>
      <w:pPr>
        <w:snapToGrid w:val="0"/>
        <w:spacing w:before="0" w:after="0" w:line="0" w:lineRule="auto"/>
        <w:jc w:val="both"/>
        <w:rPr>
          <w:lang w:val="en-US" w:eastAsia="zh-CN"/>
        </w:rPr>
      </w:pPr>
      <w:r>
        <w:rPr>
          <w:sz w:val="8"/>
          <w:lang w:val="en-US" w:eastAsia="zh-CN"/>
        </w:rPr>
        <w:t xml:space="preserve"> </w:t>
      </w:r>
    </w:p>
    <w:p>
      <w:pPr>
        <w:jc w:val="both"/>
        <w:rPr>
          <w:rFonts w:ascii="黑体" w:hAnsi="仿宋" w:eastAsia="黑体"/>
          <w:sz w:val="32"/>
          <w:szCs w:val="32"/>
          <w:lang w:val="en-US" w:eastAsia="zh-CN"/>
        </w:rPr>
      </w:pPr>
      <w:r>
        <w:rPr/>
        <w:br w:type="page" w:clear="none"/>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00"/>
        <w:gridCol w:w="300"/>
        <w:gridCol w:w="300"/>
        <w:gridCol w:w="3460"/>
        <w:gridCol w:w="1580"/>
        <w:gridCol w:w="1580"/>
        <w:gridCol w:w="1580"/>
        <w:gridCol w:w="1580"/>
        <w:gridCol w:w="1580"/>
        <w:gridCol w:w="1580"/>
        <w:gridCol w:w="15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4"/>
            <w:noWrap w:val="0"/>
            <w:vAlign w:val="center"/>
          </w:tcPr>
          <w:p>
            <w:pPr>
              <w:jc w:val="center"/>
              <w:rPr>
                <w:lang w:val="en-US" w:eastAsia="zh-CN"/>
              </w:rPr>
            </w:pPr>
            <w:r>
              <w:rPr>
                <w:rFonts w:ascii="宋体" w:hAnsi="宋体" w:eastAsia="宋体" w:cs="宋体"/>
                <w:b w:val="0"/>
                <w:i w:val="0"/>
                <w:color w:val="000000"/>
                <w:sz w:val="18"/>
                <w:lang w:val="en-US" w:eastAsia="zh-CN"/>
              </w:rPr>
              <w:t>项目</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本年收入合计</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财政拨款收入</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上级补助收入</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事业收入</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经营收入</w:t>
            </w:r>
          </w:p>
        </w:tc>
        <w:tc>
          <w:tcPr>
            <w:tcW w:w="1580"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附属单位上缴收入</w:t>
            </w:r>
          </w:p>
        </w:tc>
        <w:tc>
          <w:tcPr>
            <w:tcW w:w="1558" w:type="dxa"/>
            <w:vMerge w:val="restart"/>
            <w:noWrap w:val="0"/>
            <w:vAlign w:val="center"/>
          </w:tcPr>
          <w:p>
            <w:pPr>
              <w:jc w:val="center"/>
              <w:rPr>
                <w:lang w:val="en-US" w:eastAsia="zh-CN"/>
              </w:rPr>
            </w:pPr>
            <w:r>
              <w:rPr>
                <w:rFonts w:ascii="宋体" w:hAnsi="宋体" w:eastAsia="宋体" w:cs="宋体"/>
                <w:b w:val="0"/>
                <w:i w:val="0"/>
                <w:color w:val="000000"/>
                <w:sz w:val="18"/>
                <w:lang w:val="en-US" w:eastAsia="zh-CN"/>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功能分类科目代码</w:t>
            </w:r>
          </w:p>
        </w:tc>
        <w:tc>
          <w:tcPr>
            <w:tcW w:w="34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科目名称</w:t>
            </w: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5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vMerge w:val="continue"/>
            <w:tcBorders>
              <w:tl2br w:val="nil"/>
              <w:tr2bl w:val="nil"/>
            </w:tcBorders>
            <w:noWrap w:val="0"/>
            <w:vAlign w:val="center"/>
          </w:tcPr>
          <w:p>
            <w:pPr>
              <w:jc w:val="both"/>
              <w:rPr>
                <w:lang w:val="en-US" w:eastAsia="zh-CN"/>
              </w:rPr>
            </w:pPr>
          </w:p>
        </w:tc>
        <w:tc>
          <w:tcPr>
            <w:tcW w:w="346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5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vMerge w:val="continue"/>
            <w:tcBorders>
              <w:tl2br w:val="nil"/>
              <w:tr2bl w:val="nil"/>
            </w:tcBorders>
            <w:noWrap w:val="0"/>
            <w:vAlign w:val="center"/>
          </w:tcPr>
          <w:p>
            <w:pPr>
              <w:jc w:val="both"/>
              <w:rPr>
                <w:lang w:val="en-US" w:eastAsia="zh-CN"/>
              </w:rPr>
            </w:pPr>
          </w:p>
        </w:tc>
        <w:tc>
          <w:tcPr>
            <w:tcW w:w="346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80" w:type="dxa"/>
            <w:vMerge w:val="continue"/>
            <w:tcBorders>
              <w:tl2br w:val="nil"/>
              <w:tr2bl w:val="nil"/>
            </w:tcBorders>
            <w:noWrap w:val="0"/>
            <w:vAlign w:val="center"/>
          </w:tcPr>
          <w:p>
            <w:pPr>
              <w:jc w:val="both"/>
              <w:rPr>
                <w:lang w:val="en-US" w:eastAsia="zh-CN"/>
              </w:rPr>
            </w:pPr>
          </w:p>
        </w:tc>
        <w:tc>
          <w:tcPr>
            <w:tcW w:w="155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类</w:t>
            </w:r>
          </w:p>
        </w:tc>
        <w:tc>
          <w:tcPr>
            <w:tcW w:w="3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款</w:t>
            </w:r>
          </w:p>
        </w:tc>
        <w:tc>
          <w:tcPr>
            <w:tcW w:w="3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项</w:t>
            </w:r>
          </w:p>
        </w:tc>
        <w:tc>
          <w:tcPr>
            <w:tcW w:w="34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栏次</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1</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2</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3</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4</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5</w:t>
            </w:r>
          </w:p>
        </w:tc>
        <w:tc>
          <w:tcPr>
            <w:tcW w:w="15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6</w:t>
            </w:r>
          </w:p>
        </w:tc>
        <w:tc>
          <w:tcPr>
            <w:tcW w:w="155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vMerge w:val="continue"/>
            <w:tcBorders>
              <w:tl2br w:val="nil"/>
              <w:tr2bl w:val="nil"/>
            </w:tcBorders>
            <w:noWrap w:val="0"/>
            <w:vAlign w:val="center"/>
          </w:tcPr>
          <w:p>
            <w:pPr>
              <w:jc w:val="both"/>
              <w:rPr>
                <w:lang w:val="en-US" w:eastAsia="zh-CN"/>
              </w:rPr>
            </w:pPr>
          </w:p>
        </w:tc>
        <w:tc>
          <w:tcPr>
            <w:tcW w:w="300" w:type="dxa"/>
            <w:vMerge w:val="continue"/>
            <w:tcBorders>
              <w:tl2br w:val="nil"/>
              <w:tr2bl w:val="nil"/>
            </w:tcBorders>
            <w:noWrap w:val="0"/>
            <w:vAlign w:val="center"/>
          </w:tcPr>
          <w:p>
            <w:pPr>
              <w:jc w:val="both"/>
              <w:rPr>
                <w:lang w:val="en-US" w:eastAsia="zh-CN"/>
              </w:rPr>
            </w:pPr>
          </w:p>
        </w:tc>
        <w:tc>
          <w:tcPr>
            <w:tcW w:w="300" w:type="dxa"/>
            <w:vMerge w:val="continue"/>
            <w:tcBorders>
              <w:tl2br w:val="nil"/>
              <w:tr2bl w:val="nil"/>
            </w:tcBorders>
            <w:noWrap w:val="0"/>
            <w:vAlign w:val="center"/>
          </w:tcPr>
          <w:p>
            <w:pPr>
              <w:jc w:val="both"/>
              <w:rPr>
                <w:lang w:val="en-US" w:eastAsia="zh-CN"/>
              </w:rPr>
            </w:pPr>
          </w:p>
        </w:tc>
        <w:tc>
          <w:tcPr>
            <w:tcW w:w="34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合计</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110,769,802.91</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96,324,073.15</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i w:val="0"/>
                <w:color w:val="000000"/>
                <w:sz w:val="18"/>
                <w:lang w:val="en-US" w:eastAsia="zh-CN"/>
              </w:rPr>
              <w:t>14,445,729.76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一般公共服务支出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9,651,581.00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9,233,069.45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418,511.55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人大事务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64,100.00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2,100.00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62,000.00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2010199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其他人大事务支出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64,100.00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2,100.00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62,000.00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政府办公厅（室）及相关机构事务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9,456,891.26</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9,228,379.71</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228,511.55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2010301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行政运行</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8,927,691.26</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8,699,179.71</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228,511.55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2010302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一般行政管理事务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251,200.00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251,200.00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2010308</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信访事务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2010399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其他政府办公厅（室）及相关机构事务支出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20132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组织事务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128,000.00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2013299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其他组织事务支出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128,000.00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20136</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其他共产党事务支出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2,589.74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2,589.74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2013699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其他共产党事务支出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2,589.74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2,589.74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204</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公共安全支出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20499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其他公共安全支出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2049999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其他公共安全支出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60,485.75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教育支出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20599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其他教育支出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2059999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其他教育支出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207</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文化旅游体育与传媒支出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20799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其他文化旅游体育与传媒支出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2079999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其他文化旅游体育与传媒支出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社会保障和就业支出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2,637,498.67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1,869,298.67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768,200.00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行政事业单位养老支出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1,271,898.67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1,271,898.67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2080501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行政单位离退休</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55,908.00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55,908.00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2080505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机关事业单位基本养老保险缴费支出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795,370.40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795,370.40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2080506</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机关事业单位职业年金缴费支出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420,620.27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420,620.27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20820</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临时救助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607,400.00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597,400.00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2082001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临时救助支出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607,400.00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597,400.00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20828</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退役军人管理事务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2082899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其他退役军人事务管理支出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其他社会保障和就业支出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740,200.00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740,200.00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2089999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其他社会保障和就业支出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740,200.00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740,200.00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卫生健康支出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1,055,902.42</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790,902.42</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265,000.00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卫生健康管理事务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265,000.00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265,000.00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2100199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其他卫生健康管理事务支出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265,000.00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265,000.00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21004</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公共卫生</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234,703.20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234,703.20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2100408</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基本公共卫生服务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5,400.00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2100410</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突发公共卫生事件应急处理</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229,303.20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229,303.20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21011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行政事业单位医疗</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556,199.22</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556,199.22</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2101101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行政单位医疗</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397,279.98</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397,279.98</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2101103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公务员医疗补助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158,919.24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158,919.24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节能环保支出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21103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污染防治</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2110301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大气</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14,829,500.00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城乡社区支出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9,888,906.23</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8,652,906.23</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1,236,000.00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城乡社区管理事务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260,171.24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260,171.24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2120102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一般行政管理事务</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260,171.24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260,171.24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城乡社区公共设施</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580,116.14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580,116.14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2120303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小城镇基础设施建设</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455,245.17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455,245.17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2120399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其他城乡社区公共设施支出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124,870.97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124,870.97</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21208</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国有土地使用权出让收入安排的支出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5,037,857.20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5,037,857.20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2120801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征地和拆迁补偿支出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5,037,857.20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5,037,857.20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其他城乡社区支出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4,010,761.65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2,774,761.65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1,236,000.00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2129999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其他城乡社区支出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4,010,761.65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2,774,761.65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1,236,000.00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农林水支出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69,967,258.04</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59,197,739.83</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10,769,518.21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农业农村</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11,093,992.36</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9,282,941.85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1,811,050.51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2130122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农业生产发展</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9,202,941.85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9,052,941.85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2130135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农业资源保护修复与利用</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1,191,807.00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1,191,807.00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2130153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农田建设</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230,000.00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230,000.00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2130199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其他农业农村支出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469,243.51</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469,243.51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林业和草原</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102,310.00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102,310.00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2130205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森林资源培育</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102,310.00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102,310.00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水利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387,600.00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387,600.00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2130399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其他水利支出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387,600.00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387,600.00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巩固脱贫攻坚成果衔接乡村振兴</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27,738,925.00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22,524,425.00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5,214,500.00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2130599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其他巩固脱贫攻坚成果衔接乡村振兴支出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27,738,925.00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22,524,425.00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5,214,500.00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21307</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农村综合改革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12,428,807.98</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11,516,192.98</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912,615.00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2130701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对村级公益事业建设的补助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6,209,902.73</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6,209,902.73</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2130705</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对村民委员会和村党支部的补助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6,116,663.25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5,204,048.25</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912,615.00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2130799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其他农村综合改革支出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102,242.00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102,242.00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其他农林水支出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18,215,622.70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15,486,580.00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2,729,042.70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2139999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其他农林水支出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18,215,622.70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15,486,580.00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2,729,042.70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住房保障支出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1,163,570.80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1,163,570.80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22102</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住房改革支出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1,163,570.80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1,163,570.80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2210201</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住房公积金</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770,233.80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770,233.80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2210203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购房补贴</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393,337.00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393,337.00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224</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灾害防治及应急管理支出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22407</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自然灾害救灾及恢复重建支出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2240703</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自然灾害救灾补助</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226,600.00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2299999</w:t>
            </w:r>
          </w:p>
        </w:tc>
        <w:tc>
          <w:tcPr>
            <w:tcW w:w="346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其他支出</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8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155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861,500.00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5" w:hRule="exact"/>
          <w:jc w:val="center"/>
        </w:trPr>
        <w:tc>
          <w:tcPr>
            <w:tcW w:w="300" w:type="dxa"/>
            <w:gridSpan w:val="11"/>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注：本表反映部门本年度取得的各项收入情况。</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0"/>
        <w:gridCol w:w="320"/>
        <w:gridCol w:w="320"/>
        <w:gridCol w:w="3840"/>
        <w:gridCol w:w="1760"/>
        <w:gridCol w:w="1760"/>
        <w:gridCol w:w="1760"/>
        <w:gridCol w:w="1760"/>
        <w:gridCol w:w="1760"/>
        <w:gridCol w:w="17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4"/>
            <w:noWrap w:val="0"/>
            <w:vAlign w:val="center"/>
          </w:tcPr>
          <w:p>
            <w:pPr>
              <w:jc w:val="center"/>
              <w:rPr>
                <w:lang w:val="en-US" w:eastAsia="zh-CN"/>
              </w:rPr>
            </w:pPr>
            <w:r>
              <w:rPr>
                <w:rFonts w:ascii="宋体" w:hAnsi="宋体" w:eastAsia="宋体" w:cs="宋体"/>
                <w:b w:val="0"/>
                <w:i w:val="0"/>
                <w:color w:val="000000"/>
                <w:sz w:val="21"/>
                <w:lang w:val="en-US" w:eastAsia="zh-CN"/>
              </w:rPr>
              <w:t>项目</w:t>
            </w:r>
          </w:p>
        </w:tc>
        <w:tc>
          <w:tcPr>
            <w:tcW w:w="1760"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本年支出合计</w:t>
            </w:r>
          </w:p>
        </w:tc>
        <w:tc>
          <w:tcPr>
            <w:tcW w:w="1760"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基本支出</w:t>
            </w:r>
          </w:p>
        </w:tc>
        <w:tc>
          <w:tcPr>
            <w:tcW w:w="1760"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项目支出</w:t>
            </w:r>
          </w:p>
        </w:tc>
        <w:tc>
          <w:tcPr>
            <w:tcW w:w="1760"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上缴上级支出</w:t>
            </w:r>
          </w:p>
        </w:tc>
        <w:tc>
          <w:tcPr>
            <w:tcW w:w="1760"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经营支出</w:t>
            </w:r>
          </w:p>
        </w:tc>
        <w:tc>
          <w:tcPr>
            <w:tcW w:w="1798" w:type="dxa"/>
            <w:vMerge w:val="restart"/>
            <w:noWrap w:val="0"/>
            <w:vAlign w:val="center"/>
          </w:tcPr>
          <w:p>
            <w:pPr>
              <w:jc w:val="center"/>
              <w:rPr>
                <w:lang w:val="en-US" w:eastAsia="zh-CN"/>
              </w:rPr>
            </w:pPr>
            <w:r>
              <w:rPr>
                <w:rFonts w:ascii="宋体" w:hAnsi="宋体" w:eastAsia="宋体" w:cs="宋体"/>
                <w:b w:val="0"/>
                <w:i w:val="0"/>
                <w:color w:val="000000"/>
                <w:sz w:val="21"/>
                <w:lang w:val="en-US" w:eastAsia="zh-CN"/>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功能分类科目代码</w:t>
            </w:r>
          </w:p>
        </w:tc>
        <w:tc>
          <w:tcPr>
            <w:tcW w:w="38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科目名称</w:t>
            </w: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9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vMerge w:val="continue"/>
            <w:tcBorders>
              <w:tl2br w:val="nil"/>
              <w:tr2bl w:val="nil"/>
            </w:tcBorders>
            <w:noWrap w:val="0"/>
            <w:vAlign w:val="center"/>
          </w:tcPr>
          <w:p>
            <w:pPr>
              <w:jc w:val="both"/>
              <w:rPr>
                <w:lang w:val="en-US" w:eastAsia="zh-CN"/>
              </w:rPr>
            </w:pPr>
          </w:p>
        </w:tc>
        <w:tc>
          <w:tcPr>
            <w:tcW w:w="384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9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vMerge w:val="continue"/>
            <w:tcBorders>
              <w:tl2br w:val="nil"/>
              <w:tr2bl w:val="nil"/>
            </w:tcBorders>
            <w:noWrap w:val="0"/>
            <w:vAlign w:val="center"/>
          </w:tcPr>
          <w:p>
            <w:pPr>
              <w:jc w:val="both"/>
              <w:rPr>
                <w:lang w:val="en-US" w:eastAsia="zh-CN"/>
              </w:rPr>
            </w:pPr>
          </w:p>
        </w:tc>
        <w:tc>
          <w:tcPr>
            <w:tcW w:w="384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60" w:type="dxa"/>
            <w:vMerge w:val="continue"/>
            <w:tcBorders>
              <w:tl2br w:val="nil"/>
              <w:tr2bl w:val="nil"/>
            </w:tcBorders>
            <w:noWrap w:val="0"/>
            <w:vAlign w:val="center"/>
          </w:tcPr>
          <w:p>
            <w:pPr>
              <w:jc w:val="both"/>
              <w:rPr>
                <w:lang w:val="en-US" w:eastAsia="zh-CN"/>
              </w:rPr>
            </w:pPr>
          </w:p>
        </w:tc>
        <w:tc>
          <w:tcPr>
            <w:tcW w:w="179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类</w:t>
            </w:r>
          </w:p>
        </w:tc>
        <w:tc>
          <w:tcPr>
            <w:tcW w:w="3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款</w:t>
            </w:r>
          </w:p>
        </w:tc>
        <w:tc>
          <w:tcPr>
            <w:tcW w:w="3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项</w:t>
            </w:r>
          </w:p>
        </w:tc>
        <w:tc>
          <w:tcPr>
            <w:tcW w:w="384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栏次</w:t>
            </w:r>
          </w:p>
        </w:tc>
        <w:tc>
          <w:tcPr>
            <w:tcW w:w="17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1</w:t>
            </w:r>
          </w:p>
        </w:tc>
        <w:tc>
          <w:tcPr>
            <w:tcW w:w="17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2</w:t>
            </w:r>
          </w:p>
        </w:tc>
        <w:tc>
          <w:tcPr>
            <w:tcW w:w="17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3</w:t>
            </w:r>
          </w:p>
        </w:tc>
        <w:tc>
          <w:tcPr>
            <w:tcW w:w="17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4</w:t>
            </w:r>
          </w:p>
        </w:tc>
        <w:tc>
          <w:tcPr>
            <w:tcW w:w="17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5</w:t>
            </w:r>
          </w:p>
        </w:tc>
        <w:tc>
          <w:tcPr>
            <w:tcW w:w="179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vMerge w:val="continue"/>
            <w:tcBorders>
              <w:tl2br w:val="nil"/>
              <w:tr2bl w:val="nil"/>
            </w:tcBorders>
            <w:noWrap w:val="0"/>
            <w:vAlign w:val="center"/>
          </w:tcPr>
          <w:p>
            <w:pPr>
              <w:jc w:val="both"/>
              <w:rPr>
                <w:lang w:val="en-US" w:eastAsia="zh-CN"/>
              </w:rPr>
            </w:pPr>
          </w:p>
        </w:tc>
        <w:tc>
          <w:tcPr>
            <w:tcW w:w="320" w:type="dxa"/>
            <w:vMerge w:val="continue"/>
            <w:tcBorders>
              <w:tl2br w:val="nil"/>
              <w:tr2bl w:val="nil"/>
            </w:tcBorders>
            <w:noWrap w:val="0"/>
            <w:vAlign w:val="center"/>
          </w:tcPr>
          <w:p>
            <w:pPr>
              <w:jc w:val="both"/>
              <w:rPr>
                <w:lang w:val="en-US" w:eastAsia="zh-CN"/>
              </w:rPr>
            </w:pPr>
          </w:p>
        </w:tc>
        <w:tc>
          <w:tcPr>
            <w:tcW w:w="320" w:type="dxa"/>
            <w:vMerge w:val="continue"/>
            <w:tcBorders>
              <w:tl2br w:val="nil"/>
              <w:tr2bl w:val="nil"/>
            </w:tcBorders>
            <w:noWrap w:val="0"/>
            <w:vAlign w:val="center"/>
          </w:tcPr>
          <w:p>
            <w:pPr>
              <w:jc w:val="both"/>
              <w:rPr>
                <w:lang w:val="en-US" w:eastAsia="zh-CN"/>
              </w:rPr>
            </w:pPr>
          </w:p>
        </w:tc>
        <w:tc>
          <w:tcPr>
            <w:tcW w:w="384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1"/>
                <w:lang w:val="en-US" w:eastAsia="zh-CN"/>
              </w:rPr>
              <w:t>合计</w:t>
            </w:r>
          </w:p>
        </w:tc>
        <w:tc>
          <w:tcPr>
            <w:tcW w:w="1760"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113,062,730.96</w:t>
            </w:r>
          </w:p>
        </w:tc>
        <w:tc>
          <w:tcPr>
            <w:tcW w:w="1760"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12,015,971.50</w:t>
            </w:r>
          </w:p>
        </w:tc>
        <w:tc>
          <w:tcPr>
            <w:tcW w:w="1760"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101,046,759.46</w:t>
            </w:r>
          </w:p>
        </w:tc>
        <w:tc>
          <w:tcPr>
            <w:tcW w:w="1760"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一般公共服务支出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11,980,657.92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9,024,302.81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2,956,355.11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人大事务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2,100.00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2,100.00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2010199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其他人大事务支出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2,100.00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2,100.00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政府办公厅（室）及相关机构事务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9,553,502.81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9,024,302.81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529,200.00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2010301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行政运行</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9,024,302.81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9,024,302.81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2010302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一般行政管理事务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251,200.00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251,200.00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2010308</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信访事务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158,000.00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158,000.00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2010399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其他政府办公厅（室）及相关机构事务支出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20104</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发展与改革事务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2010499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其他发展与改革事务支出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20132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组织事务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2,302,465.37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2,302,465.37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2013299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其他组织事务支出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2,302,465.37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2,302,465.37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20136</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其他共产党事务支出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2,589.74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2,589.74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2013699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其他共产党事务支出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2,589.74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2,589.74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204</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公共安全支出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20499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其他公共安全支出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2049999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其他公共安全支出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60,485.75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教育支出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20599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其他教育支出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2059999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其他教育支出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207</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文化旅游体育与传媒支出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20799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其他文化旅游体育与传媒支出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2079999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其他文化旅游体育与传媒支出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142,940.00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社会保障和就业支出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2,707,582.92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1,271,898.67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1,435,684.25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行政事业单位养老支出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1,271,898.67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1,271,898.67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2080501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行政单位离退休</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55,908.00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55,908.00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2080505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机关事业单位基本养老保险缴费支出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795,370.40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795,370.40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2080506</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机关事业单位职业年金缴费支出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420,620.27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420,620.27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退役安置</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30,184.25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30,184.25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2080999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其他退役安置支出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30,184.25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30,184.25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20820</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临时救助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952,900.00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952,900.00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2082001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临时救助支出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952,900.00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952,900.00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20828</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退役军人管理事务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2082899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其他退役军人事务管理支出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其他社会保障和就业支出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434,600.00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434,600.00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2089999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其他社会保障和就业支出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434,600.00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434,600.00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卫生健康支出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1,055,902.42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556,199.22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499,703.20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卫生健康管理事务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265,000.00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265,000.00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2100199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其他卫生健康管理事务支出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265,000.00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265,000.00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21004</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公共卫生</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234,703.20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234,703.20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2100408</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基本公共卫生服务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5,400.00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5,400.00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2100410</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突发公共卫生事件应急处理</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229,303.20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229,303.20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21011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行政事业单位医疗</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556,199.22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556,199.22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2101101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行政单位医疗</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397,279.98</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397,279.98</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2101103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公务员医疗补助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158,919.24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158,919.24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节能环保支出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21103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污染防治</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2110301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大气</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14,829,500.00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城乡社区支出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10,444,202.72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10,444,202.72</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城乡社区管理事务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260,171.24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260,171.24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2120102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一般行政管理事务</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260,171.24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260,171.24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城乡社区公共设施</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580,116.14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580,116.14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2120303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小城镇基础设施建设</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455,245.17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455,245.17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2120399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其他城乡社区公共设施支出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124,870.97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124,870.97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21208</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国有土地使用权出让收入安排的支出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5,037,857.20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5,037,857.20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2120801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征地和拆迁补偿支出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5,037,857.20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5,037,857.20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其他城乡社区支出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4,566,058.14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4,566,058.14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2129999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其他城乡社区支出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4,566,058.14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4,566,058.14</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农林水支出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69,816,648.77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69,816,648.77</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农业农村</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11,191,899.16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11,191,899.16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2130122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农业生产发展</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9,202,941.85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9,202,941.85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2130135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农业资源保护修复与利用</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1,191,807.00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1,191,807.00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2130153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农田建设</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230,000.00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2130199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其他农业农村支出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567,150.31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567,150.31</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林业和草原</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2130205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森林资源培育</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50,000.00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水利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387,600.00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387,600.00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2130399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其他水利支出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387,600.00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387,600.00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巩固脱贫攻坚成果衔接乡村振兴</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27,903,013.00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27,903,013.00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2130599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其他巩固脱贫攻坚成果衔接乡村振兴支出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27,903,013.00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27,903,013.00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21307</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农村综合改革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11,528,807.98</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11,528,807.98</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2130701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对村级公益事业建设的补助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6,209,902.73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6,209,902.73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2130705</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对村民委员会和村党支部的补助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5,216,663.25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5,216,663.25</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2130799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其他农村综合改革支出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102,242.00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102,242.00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其他农林水支出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18,755,328.63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18,755,328.63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2139999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其他农林水支出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18,755,328.63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18,755,328.63</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住房保障支出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1,163,570.80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1,163,570.80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22102</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住房改革支出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1,163,570.80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1,163,570.80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2210201</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住房公积金</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770,233.80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770,233.80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2210203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购房补贴</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393,337.00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393,337.00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224</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灾害防治及应急管理支出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22407</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自然灾害救灾及恢复重建支出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2240703</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自然灾害救灾补助</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227,050.00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41" w:hRule="exact"/>
          <w:jc w:val="center"/>
        </w:trPr>
        <w:tc>
          <w:tcPr>
            <w:tcW w:w="32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2299999</w:t>
            </w:r>
          </w:p>
        </w:tc>
        <w:tc>
          <w:tcPr>
            <w:tcW w:w="38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其他支出</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334,189.66</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c>
          <w:tcPr>
            <w:tcW w:w="17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1" w:hRule="exact"/>
          <w:jc w:val="center"/>
        </w:trPr>
        <w:tc>
          <w:tcPr>
            <w:tcW w:w="320" w:type="dxa"/>
            <w:gridSpan w:val="10"/>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1"/>
                <w:lang w:val="en-US" w:eastAsia="zh-CN"/>
              </w:rPr>
              <w:t>注：本表反映部门本年度各项支出情况。</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040"/>
        <w:gridCol w:w="520"/>
        <w:gridCol w:w="1560"/>
        <w:gridCol w:w="3400"/>
        <w:gridCol w:w="520"/>
        <w:gridCol w:w="1560"/>
        <w:gridCol w:w="1560"/>
        <w:gridCol w:w="1560"/>
        <w:gridCol w:w="16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gridSpan w:val="3"/>
            <w:noWrap w:val="0"/>
            <w:vAlign w:val="center"/>
          </w:tcPr>
          <w:p>
            <w:pPr>
              <w:jc w:val="center"/>
              <w:rPr>
                <w:lang w:val="en-US" w:eastAsia="zh-CN"/>
              </w:rPr>
            </w:pPr>
            <w:r>
              <w:rPr>
                <w:rFonts w:ascii="宋体" w:hAnsi="宋体" w:eastAsia="宋体" w:cs="宋体"/>
                <w:b w:val="0"/>
                <w:i w:val="0"/>
                <w:color w:val="000000"/>
                <w:sz w:val="19"/>
                <w:lang w:val="en-US" w:eastAsia="zh-CN"/>
              </w:rPr>
              <w:t>收     入</w:t>
            </w:r>
          </w:p>
        </w:tc>
        <w:tc>
          <w:tcPr>
            <w:tcW w:w="3400" w:type="dxa"/>
            <w:gridSpan w:val="6"/>
            <w:noWrap w:val="0"/>
            <w:vAlign w:val="center"/>
          </w:tcPr>
          <w:p>
            <w:pPr>
              <w:jc w:val="center"/>
              <w:rPr>
                <w:lang w:val="en-US" w:eastAsia="zh-CN"/>
              </w:rPr>
            </w:pPr>
            <w:r>
              <w:rPr>
                <w:rFonts w:ascii="宋体" w:hAnsi="宋体" w:eastAsia="宋体" w:cs="宋体"/>
                <w:b w:val="0"/>
                <w:i w:val="0"/>
                <w:color w:val="000000"/>
                <w:sz w:val="19"/>
                <w:lang w:val="en-US" w:eastAsia="zh-CN"/>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97" w:hRule="exact"/>
          <w:jc w:val="center"/>
        </w:trPr>
        <w:tc>
          <w:tcPr>
            <w:tcW w:w="30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项目</w:t>
            </w:r>
          </w:p>
        </w:tc>
        <w:tc>
          <w:tcPr>
            <w:tcW w:w="5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行次</w:t>
            </w:r>
          </w:p>
        </w:tc>
        <w:tc>
          <w:tcPr>
            <w:tcW w:w="15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金额</w:t>
            </w:r>
          </w:p>
        </w:tc>
        <w:tc>
          <w:tcPr>
            <w:tcW w:w="34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项目</w:t>
            </w:r>
          </w:p>
        </w:tc>
        <w:tc>
          <w:tcPr>
            <w:tcW w:w="5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行次</w:t>
            </w:r>
          </w:p>
        </w:tc>
        <w:tc>
          <w:tcPr>
            <w:tcW w:w="15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合计</w:t>
            </w:r>
          </w:p>
        </w:tc>
        <w:tc>
          <w:tcPr>
            <w:tcW w:w="15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一般公共预算财政拨款</w:t>
            </w:r>
          </w:p>
        </w:tc>
        <w:tc>
          <w:tcPr>
            <w:tcW w:w="15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政府性基金预算财政拨款</w:t>
            </w:r>
          </w:p>
        </w:tc>
        <w:tc>
          <w:tcPr>
            <w:tcW w:w="1678"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835" w:hRule="exact"/>
          <w:jc w:val="center"/>
        </w:trPr>
        <w:tc>
          <w:tcPr>
            <w:tcW w:w="3040" w:type="dxa"/>
            <w:vMerge w:val="continue"/>
            <w:tcBorders>
              <w:tl2br w:val="nil"/>
              <w:tr2bl w:val="nil"/>
            </w:tcBorders>
            <w:noWrap w:val="0"/>
            <w:vAlign w:val="center"/>
          </w:tcPr>
          <w:p>
            <w:pPr>
              <w:jc w:val="both"/>
              <w:rPr>
                <w:lang w:val="en-US" w:eastAsia="zh-CN"/>
              </w:rPr>
            </w:pPr>
          </w:p>
        </w:tc>
        <w:tc>
          <w:tcPr>
            <w:tcW w:w="520" w:type="dxa"/>
            <w:vMerge w:val="continue"/>
            <w:tcBorders>
              <w:tl2br w:val="nil"/>
              <w:tr2bl w:val="nil"/>
            </w:tcBorders>
            <w:noWrap w:val="0"/>
            <w:vAlign w:val="center"/>
          </w:tcPr>
          <w:p>
            <w:pPr>
              <w:jc w:val="both"/>
              <w:rPr>
                <w:lang w:val="en-US" w:eastAsia="zh-CN"/>
              </w:rPr>
            </w:pPr>
          </w:p>
        </w:tc>
        <w:tc>
          <w:tcPr>
            <w:tcW w:w="1560" w:type="dxa"/>
            <w:vMerge w:val="continue"/>
            <w:tcBorders>
              <w:tl2br w:val="nil"/>
              <w:tr2bl w:val="nil"/>
            </w:tcBorders>
            <w:noWrap w:val="0"/>
            <w:vAlign w:val="center"/>
          </w:tcPr>
          <w:p>
            <w:pPr>
              <w:jc w:val="both"/>
              <w:rPr>
                <w:lang w:val="en-US" w:eastAsia="zh-CN"/>
              </w:rPr>
            </w:pPr>
          </w:p>
        </w:tc>
        <w:tc>
          <w:tcPr>
            <w:tcW w:w="3400" w:type="dxa"/>
            <w:vMerge w:val="continue"/>
            <w:tcBorders>
              <w:tl2br w:val="nil"/>
              <w:tr2bl w:val="nil"/>
            </w:tcBorders>
            <w:noWrap w:val="0"/>
            <w:vAlign w:val="center"/>
          </w:tcPr>
          <w:p>
            <w:pPr>
              <w:jc w:val="both"/>
              <w:rPr>
                <w:lang w:val="en-US" w:eastAsia="zh-CN"/>
              </w:rPr>
            </w:pPr>
          </w:p>
        </w:tc>
        <w:tc>
          <w:tcPr>
            <w:tcW w:w="520" w:type="dxa"/>
            <w:vMerge w:val="continue"/>
            <w:tcBorders>
              <w:tl2br w:val="nil"/>
              <w:tr2bl w:val="nil"/>
            </w:tcBorders>
            <w:noWrap w:val="0"/>
            <w:vAlign w:val="center"/>
          </w:tcPr>
          <w:p>
            <w:pPr>
              <w:jc w:val="both"/>
              <w:rPr>
                <w:lang w:val="en-US" w:eastAsia="zh-CN"/>
              </w:rPr>
            </w:pPr>
          </w:p>
        </w:tc>
        <w:tc>
          <w:tcPr>
            <w:tcW w:w="1560" w:type="dxa"/>
            <w:vMerge w:val="continue"/>
            <w:tcBorders>
              <w:tl2br w:val="nil"/>
              <w:tr2bl w:val="nil"/>
            </w:tcBorders>
            <w:noWrap w:val="0"/>
            <w:vAlign w:val="center"/>
          </w:tcPr>
          <w:p>
            <w:pPr>
              <w:jc w:val="both"/>
              <w:rPr>
                <w:lang w:val="en-US" w:eastAsia="zh-CN"/>
              </w:rPr>
            </w:pPr>
          </w:p>
        </w:tc>
        <w:tc>
          <w:tcPr>
            <w:tcW w:w="1560" w:type="dxa"/>
            <w:vMerge w:val="continue"/>
            <w:tcBorders>
              <w:tl2br w:val="nil"/>
              <w:tr2bl w:val="nil"/>
            </w:tcBorders>
            <w:noWrap w:val="0"/>
            <w:vAlign w:val="center"/>
          </w:tcPr>
          <w:p>
            <w:pPr>
              <w:jc w:val="both"/>
              <w:rPr>
                <w:lang w:val="en-US" w:eastAsia="zh-CN"/>
              </w:rPr>
            </w:pPr>
          </w:p>
        </w:tc>
        <w:tc>
          <w:tcPr>
            <w:tcW w:w="1560" w:type="dxa"/>
            <w:vMerge w:val="continue"/>
            <w:tcBorders>
              <w:tl2br w:val="nil"/>
              <w:tr2bl w:val="nil"/>
            </w:tcBorders>
            <w:noWrap w:val="0"/>
            <w:vAlign w:val="center"/>
          </w:tcPr>
          <w:p>
            <w:pPr>
              <w:jc w:val="both"/>
              <w:rPr>
                <w:lang w:val="en-US" w:eastAsia="zh-CN"/>
              </w:rPr>
            </w:pPr>
          </w:p>
        </w:tc>
        <w:tc>
          <w:tcPr>
            <w:tcW w:w="167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栏次</w:t>
            </w:r>
          </w:p>
        </w:tc>
        <w:tc>
          <w:tcPr>
            <w:tcW w:w="52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w:t>
            </w:r>
          </w:p>
        </w:tc>
        <w:tc>
          <w:tcPr>
            <w:tcW w:w="340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栏次</w:t>
            </w:r>
          </w:p>
        </w:tc>
        <w:tc>
          <w:tcPr>
            <w:tcW w:w="52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w:t>
            </w:r>
          </w:p>
        </w:tc>
        <w:tc>
          <w:tcPr>
            <w:tcW w:w="15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w:t>
            </w:r>
          </w:p>
        </w:tc>
        <w:tc>
          <w:tcPr>
            <w:tcW w:w="15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w:t>
            </w:r>
          </w:p>
        </w:tc>
        <w:tc>
          <w:tcPr>
            <w:tcW w:w="167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一、一般公共预算财政拨款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91,286,215.95</w:t>
            </w: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一、一般公共服务支出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9,233,069.45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9,233,069.45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二、政府性基金预算财政拨款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5,037,857.20</w:t>
            </w: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二、外交支出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34</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三、国有资本经营预算财政拨款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三、国防支出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四、公共安全支出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36</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60,485.75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60,485.75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五、教育支出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300,000.00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300,000.00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六、科学技术支出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38</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7</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七、文化旅游体育与传媒支出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39</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8</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八、社会保障和就业支出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1,869,298.67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1,869,298.67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9</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九、卫生健康支出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41</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790,902.42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790,902.42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10</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十、节能环保支出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14,829,500.00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14,829,500.00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11</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十一、城乡社区支出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8,652,906.23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3,615,049.03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5,037,857.20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12</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十二、农林水支出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44</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59,197,739.83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59,197,739.83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13</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十三、交通运输支出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14</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十四、资源勘探工业信息等支出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46</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15</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十五、商业服务业等支出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16</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十六、金融支出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48</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17</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十七、援助其他地区支出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49</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18</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十八、自然资源海洋气象等支出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19</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十九、住房保障支出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51</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1,163,570.80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1,163,570.80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20</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二十、粮油物资储备支出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21</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二十一、国有资本经营预算支出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53</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22</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二十二、灾害防治及应急管理支出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54</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226,600.00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226,600.00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23</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二十三、其他支出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24</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二十四、债务还本支出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56</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25</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二十五、债务付息支出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26</w:t>
            </w:r>
          </w:p>
        </w:tc>
        <w:tc>
          <w:tcPr>
            <w:tcW w:w="1560" w:type="dxa"/>
            <w:tcBorders>
              <w:tl2br w:val="nil"/>
              <w:tr2bl w:val="nil"/>
            </w:tcBorders>
            <w:noWrap w:val="0"/>
            <w:vAlign w:val="center"/>
          </w:tcPr>
          <w:p>
            <w:pPr>
              <w:jc w:val="both"/>
              <w:rPr>
                <w:lang w:val="en-US" w:eastAsia="zh-CN"/>
              </w:rPr>
            </w:pP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二十六、抗疫特别国债安排的支出</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58</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center"/>
              <w:rPr>
                <w:lang w:val="en-US" w:eastAsia="zh-CN"/>
              </w:rPr>
            </w:pPr>
            <w:r>
              <w:rPr>
                <w:rFonts w:ascii="宋体" w:hAnsi="宋体" w:eastAsia="宋体" w:cs="宋体"/>
                <w:b/>
                <w:i w:val="0"/>
                <w:color w:val="000000"/>
                <w:sz w:val="19"/>
                <w:lang w:val="en-US" w:eastAsia="zh-CN"/>
              </w:rPr>
              <w:t>本年收入合计</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27</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96,324,073.15</w:t>
            </w:r>
          </w:p>
        </w:tc>
        <w:tc>
          <w:tcPr>
            <w:tcW w:w="3400" w:type="dxa"/>
            <w:tcBorders>
              <w:tl2br w:val="nil"/>
              <w:tr2bl w:val="nil"/>
            </w:tcBorders>
            <w:noWrap w:val="0"/>
            <w:vAlign w:val="center"/>
          </w:tcPr>
          <w:p>
            <w:pPr>
              <w:jc w:val="center"/>
              <w:rPr>
                <w:lang w:val="en-US" w:eastAsia="zh-CN"/>
              </w:rPr>
            </w:pPr>
            <w:r>
              <w:rPr>
                <w:rFonts w:ascii="宋体" w:hAnsi="宋体" w:eastAsia="宋体" w:cs="宋体"/>
                <w:b/>
                <w:i w:val="0"/>
                <w:color w:val="000000"/>
                <w:sz w:val="19"/>
                <w:lang w:val="en-US" w:eastAsia="zh-CN"/>
              </w:rPr>
              <w:t>本年支出合计</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59</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96,324,073.15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91,286,215.95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5,037,857.20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年初财政拨款结转和结余</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28</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340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年末财政拨款结转和结余</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 xml:space="preserve">  一般公共预算财政拨款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29</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340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61</w:t>
            </w: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67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 xml:space="preserve">  政府性基金预算财政拨款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30</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340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62</w:t>
            </w: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67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 xml:space="preserve">  国有资本经营预算财政拨款</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31</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c>
          <w:tcPr>
            <w:tcW w:w="3400" w:type="dxa"/>
            <w:tcBorders>
              <w:tl2br w:val="nil"/>
              <w:tr2bl w:val="nil"/>
            </w:tcBorders>
            <w:noWrap w:val="0"/>
            <w:vAlign w:val="center"/>
          </w:tcPr>
          <w:p>
            <w:pPr>
              <w:jc w:val="both"/>
              <w:rPr>
                <w:lang w:val="en-US" w:eastAsia="zh-CN"/>
              </w:rPr>
            </w:pP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63</w:t>
            </w: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560" w:type="dxa"/>
            <w:tcBorders>
              <w:tl2br w:val="nil"/>
              <w:tr2bl w:val="nil"/>
            </w:tcBorders>
            <w:noWrap w:val="0"/>
            <w:vAlign w:val="center"/>
          </w:tcPr>
          <w:p>
            <w:pPr>
              <w:jc w:val="both"/>
              <w:rPr>
                <w:lang w:val="en-US" w:eastAsia="zh-CN"/>
              </w:rPr>
            </w:pPr>
          </w:p>
        </w:tc>
        <w:tc>
          <w:tcPr>
            <w:tcW w:w="167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tcBorders>
              <w:tl2br w:val="nil"/>
              <w:tr2bl w:val="nil"/>
            </w:tcBorders>
            <w:noWrap w:val="0"/>
            <w:vAlign w:val="center"/>
          </w:tcPr>
          <w:p>
            <w:pPr>
              <w:jc w:val="center"/>
              <w:rPr>
                <w:lang w:val="en-US" w:eastAsia="zh-CN"/>
              </w:rPr>
            </w:pPr>
            <w:r>
              <w:rPr>
                <w:rFonts w:ascii="宋体" w:hAnsi="宋体" w:eastAsia="宋体" w:cs="宋体"/>
                <w:b/>
                <w:i w:val="0"/>
                <w:color w:val="000000"/>
                <w:sz w:val="19"/>
                <w:lang w:val="en-US" w:eastAsia="zh-CN"/>
              </w:rPr>
              <w:t>总计</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32</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96,324,073.15</w:t>
            </w:r>
          </w:p>
        </w:tc>
        <w:tc>
          <w:tcPr>
            <w:tcW w:w="3400" w:type="dxa"/>
            <w:tcBorders>
              <w:tl2br w:val="nil"/>
              <w:tr2bl w:val="nil"/>
            </w:tcBorders>
            <w:noWrap w:val="0"/>
            <w:vAlign w:val="center"/>
          </w:tcPr>
          <w:p>
            <w:pPr>
              <w:jc w:val="center"/>
              <w:rPr>
                <w:lang w:val="en-US" w:eastAsia="zh-CN"/>
              </w:rPr>
            </w:pPr>
            <w:r>
              <w:rPr>
                <w:rFonts w:ascii="宋体" w:hAnsi="宋体" w:eastAsia="宋体" w:cs="宋体"/>
                <w:b/>
                <w:i w:val="0"/>
                <w:color w:val="000000"/>
                <w:sz w:val="19"/>
                <w:lang w:val="en-US" w:eastAsia="zh-CN"/>
              </w:rPr>
              <w:t>总计</w:t>
            </w:r>
          </w:p>
        </w:tc>
        <w:tc>
          <w:tcPr>
            <w:tcW w:w="5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64</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96,324,073.15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91,286,215.95</w:t>
            </w:r>
          </w:p>
        </w:tc>
        <w:tc>
          <w:tcPr>
            <w:tcW w:w="15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5,037,857.20</w:t>
            </w:r>
          </w:p>
        </w:tc>
        <w:tc>
          <w:tcPr>
            <w:tcW w:w="16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9"/>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8" w:hRule="exact"/>
          <w:jc w:val="center"/>
        </w:trPr>
        <w:tc>
          <w:tcPr>
            <w:tcW w:w="3040" w:type="dxa"/>
            <w:gridSpan w:val="8"/>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注：本表反映部门本年度一般公共预算财政拨款、政府性基金预算财政拨款和国有资本经营预算财政拨款的总收支和年末结转结余情况。</w:t>
            </w:r>
          </w:p>
        </w:tc>
        <w:tc>
          <w:tcPr>
            <w:tcW w:w="1678" w:type="dxa"/>
            <w:tcBorders>
              <w:left w:val="single" w:color="FFFFFF" w:sz="4" w:space="0"/>
              <w:bottom w:val="single" w:color="FFFFFF" w:sz="4" w:space="0"/>
              <w:right w:val="single" w:color="FFFFFF" w:sz="4" w:space="0"/>
              <w:tl2br w:val="nil"/>
              <w:tr2bl w:val="nil"/>
            </w:tcBorders>
            <w:noWrap w:val="0"/>
            <w:vAlign w:val="center"/>
          </w:tcPr>
          <w:p>
            <w:pPr>
              <w:jc w:val="both"/>
              <w:rPr>
                <w:lang w:val="en-US" w:eastAsia="zh-CN"/>
              </w:rPr>
            </w:pP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40"/>
        <w:gridCol w:w="440"/>
        <w:gridCol w:w="5180"/>
        <w:gridCol w:w="2960"/>
        <w:gridCol w:w="2960"/>
        <w:gridCol w:w="29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4"/>
            <w:noWrap w:val="0"/>
            <w:vAlign w:val="center"/>
          </w:tcPr>
          <w:p>
            <w:pPr>
              <w:jc w:val="center"/>
              <w:rPr>
                <w:lang w:val="en-US" w:eastAsia="zh-CN"/>
              </w:rPr>
            </w:pPr>
            <w:r>
              <w:rPr>
                <w:rFonts w:ascii="宋体" w:hAnsi="宋体" w:eastAsia="宋体" w:cs="宋体"/>
                <w:b w:val="0"/>
                <w:i w:val="0"/>
                <w:color w:val="000000"/>
                <w:sz w:val="28"/>
                <w:lang w:val="en-US" w:eastAsia="zh-CN"/>
              </w:rPr>
              <w:t>项目</w:t>
            </w:r>
          </w:p>
        </w:tc>
        <w:tc>
          <w:tcPr>
            <w:tcW w:w="2960" w:type="dxa"/>
            <w:gridSpan w:val="3"/>
            <w:noWrap w:val="0"/>
            <w:vAlign w:val="center"/>
          </w:tcPr>
          <w:p>
            <w:pPr>
              <w:jc w:val="center"/>
              <w:rPr>
                <w:lang w:val="en-US" w:eastAsia="zh-CN"/>
              </w:rPr>
            </w:pPr>
            <w:r>
              <w:rPr>
                <w:rFonts w:ascii="宋体" w:hAnsi="宋体" w:eastAsia="宋体" w:cs="宋体"/>
                <w:b w:val="0"/>
                <w:i w:val="0"/>
                <w:color w:val="000000"/>
                <w:sz w:val="28"/>
                <w:lang w:val="en-US" w:eastAsia="zh-CN"/>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功能分类科目代码</w:t>
            </w:r>
          </w:p>
        </w:tc>
        <w:tc>
          <w:tcPr>
            <w:tcW w:w="51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科目名称</w:t>
            </w:r>
          </w:p>
        </w:tc>
        <w:tc>
          <w:tcPr>
            <w:tcW w:w="29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小计</w:t>
            </w:r>
          </w:p>
        </w:tc>
        <w:tc>
          <w:tcPr>
            <w:tcW w:w="296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基本支出</w:t>
            </w:r>
          </w:p>
        </w:tc>
        <w:tc>
          <w:tcPr>
            <w:tcW w:w="2978"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440" w:type="dxa"/>
            <w:gridSpan w:val="3"/>
            <w:vMerge w:val="continue"/>
            <w:tcBorders>
              <w:tl2br w:val="nil"/>
              <w:tr2bl w:val="nil"/>
            </w:tcBorders>
            <w:noWrap w:val="0"/>
            <w:vAlign w:val="center"/>
          </w:tcPr>
          <w:p>
            <w:pPr>
              <w:jc w:val="both"/>
              <w:rPr>
                <w:lang w:val="en-US" w:eastAsia="zh-CN"/>
              </w:rPr>
            </w:pPr>
          </w:p>
        </w:tc>
        <w:tc>
          <w:tcPr>
            <w:tcW w:w="5180" w:type="dxa"/>
            <w:vMerge w:val="continue"/>
            <w:tcBorders>
              <w:tl2br w:val="nil"/>
              <w:tr2bl w:val="nil"/>
            </w:tcBorders>
            <w:noWrap w:val="0"/>
            <w:vAlign w:val="center"/>
          </w:tcPr>
          <w:p>
            <w:pPr>
              <w:jc w:val="both"/>
              <w:rPr>
                <w:lang w:val="en-US" w:eastAsia="zh-CN"/>
              </w:rPr>
            </w:pPr>
          </w:p>
        </w:tc>
        <w:tc>
          <w:tcPr>
            <w:tcW w:w="2960" w:type="dxa"/>
            <w:vMerge w:val="continue"/>
            <w:tcBorders>
              <w:tl2br w:val="nil"/>
              <w:tr2bl w:val="nil"/>
            </w:tcBorders>
            <w:noWrap w:val="0"/>
            <w:vAlign w:val="center"/>
          </w:tcPr>
          <w:p>
            <w:pPr>
              <w:jc w:val="both"/>
              <w:rPr>
                <w:lang w:val="en-US" w:eastAsia="zh-CN"/>
              </w:rPr>
            </w:pPr>
          </w:p>
        </w:tc>
        <w:tc>
          <w:tcPr>
            <w:tcW w:w="2960" w:type="dxa"/>
            <w:vMerge w:val="continue"/>
            <w:tcBorders>
              <w:tl2br w:val="nil"/>
              <w:tr2bl w:val="nil"/>
            </w:tcBorders>
            <w:noWrap w:val="0"/>
            <w:vAlign w:val="center"/>
          </w:tcPr>
          <w:p>
            <w:pPr>
              <w:jc w:val="both"/>
              <w:rPr>
                <w:lang w:val="en-US" w:eastAsia="zh-CN"/>
              </w:rPr>
            </w:pPr>
          </w:p>
        </w:tc>
        <w:tc>
          <w:tcPr>
            <w:tcW w:w="297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vMerge w:val="continue"/>
            <w:tcBorders>
              <w:tl2br w:val="nil"/>
              <w:tr2bl w:val="nil"/>
            </w:tcBorders>
            <w:noWrap w:val="0"/>
            <w:vAlign w:val="center"/>
          </w:tcPr>
          <w:p>
            <w:pPr>
              <w:jc w:val="both"/>
              <w:rPr>
                <w:lang w:val="en-US" w:eastAsia="zh-CN"/>
              </w:rPr>
            </w:pPr>
          </w:p>
        </w:tc>
        <w:tc>
          <w:tcPr>
            <w:tcW w:w="5180" w:type="dxa"/>
            <w:vMerge w:val="continue"/>
            <w:tcBorders>
              <w:tl2br w:val="nil"/>
              <w:tr2bl w:val="nil"/>
            </w:tcBorders>
            <w:noWrap w:val="0"/>
            <w:vAlign w:val="center"/>
          </w:tcPr>
          <w:p>
            <w:pPr>
              <w:jc w:val="both"/>
              <w:rPr>
                <w:lang w:val="en-US" w:eastAsia="zh-CN"/>
              </w:rPr>
            </w:pPr>
          </w:p>
        </w:tc>
        <w:tc>
          <w:tcPr>
            <w:tcW w:w="2960" w:type="dxa"/>
            <w:vMerge w:val="continue"/>
            <w:tcBorders>
              <w:tl2br w:val="nil"/>
              <w:tr2bl w:val="nil"/>
            </w:tcBorders>
            <w:noWrap w:val="0"/>
            <w:vAlign w:val="center"/>
          </w:tcPr>
          <w:p>
            <w:pPr>
              <w:jc w:val="both"/>
              <w:rPr>
                <w:lang w:val="en-US" w:eastAsia="zh-CN"/>
              </w:rPr>
            </w:pPr>
          </w:p>
        </w:tc>
        <w:tc>
          <w:tcPr>
            <w:tcW w:w="2960" w:type="dxa"/>
            <w:vMerge w:val="continue"/>
            <w:tcBorders>
              <w:tl2br w:val="nil"/>
              <w:tr2bl w:val="nil"/>
            </w:tcBorders>
            <w:noWrap w:val="0"/>
            <w:vAlign w:val="center"/>
          </w:tcPr>
          <w:p>
            <w:pPr>
              <w:jc w:val="both"/>
              <w:rPr>
                <w:lang w:val="en-US" w:eastAsia="zh-CN"/>
              </w:rPr>
            </w:pPr>
          </w:p>
        </w:tc>
        <w:tc>
          <w:tcPr>
            <w:tcW w:w="297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类</w:t>
            </w:r>
          </w:p>
        </w:tc>
        <w:tc>
          <w:tcPr>
            <w:tcW w:w="4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款</w:t>
            </w:r>
          </w:p>
        </w:tc>
        <w:tc>
          <w:tcPr>
            <w:tcW w:w="4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项</w:t>
            </w:r>
          </w:p>
        </w:tc>
        <w:tc>
          <w:tcPr>
            <w:tcW w:w="51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栏次</w:t>
            </w:r>
          </w:p>
        </w:tc>
        <w:tc>
          <w:tcPr>
            <w:tcW w:w="29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1</w:t>
            </w:r>
          </w:p>
        </w:tc>
        <w:tc>
          <w:tcPr>
            <w:tcW w:w="296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2</w:t>
            </w:r>
          </w:p>
        </w:tc>
        <w:tc>
          <w:tcPr>
            <w:tcW w:w="297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vMerge w:val="continue"/>
            <w:tcBorders>
              <w:tl2br w:val="nil"/>
              <w:tr2bl w:val="nil"/>
            </w:tcBorders>
            <w:noWrap w:val="0"/>
            <w:vAlign w:val="center"/>
          </w:tcPr>
          <w:p>
            <w:pPr>
              <w:jc w:val="both"/>
              <w:rPr>
                <w:lang w:val="en-US" w:eastAsia="zh-CN"/>
              </w:rPr>
            </w:pPr>
          </w:p>
        </w:tc>
        <w:tc>
          <w:tcPr>
            <w:tcW w:w="440" w:type="dxa"/>
            <w:vMerge w:val="continue"/>
            <w:tcBorders>
              <w:tl2br w:val="nil"/>
              <w:tr2bl w:val="nil"/>
            </w:tcBorders>
            <w:noWrap w:val="0"/>
            <w:vAlign w:val="center"/>
          </w:tcPr>
          <w:p>
            <w:pPr>
              <w:jc w:val="both"/>
              <w:rPr>
                <w:lang w:val="en-US" w:eastAsia="zh-CN"/>
              </w:rPr>
            </w:pPr>
          </w:p>
        </w:tc>
        <w:tc>
          <w:tcPr>
            <w:tcW w:w="440" w:type="dxa"/>
            <w:vMerge w:val="continue"/>
            <w:tcBorders>
              <w:tl2br w:val="nil"/>
              <w:tr2bl w:val="nil"/>
            </w:tcBorders>
            <w:noWrap w:val="0"/>
            <w:vAlign w:val="center"/>
          </w:tcPr>
          <w:p>
            <w:pPr>
              <w:jc w:val="both"/>
              <w:rPr>
                <w:lang w:val="en-US" w:eastAsia="zh-CN"/>
              </w:rPr>
            </w:pPr>
          </w:p>
        </w:tc>
        <w:tc>
          <w:tcPr>
            <w:tcW w:w="51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合计</w:t>
            </w:r>
          </w:p>
        </w:tc>
        <w:tc>
          <w:tcPr>
            <w:tcW w:w="2960" w:type="dxa"/>
            <w:tcBorders>
              <w:tl2br w:val="nil"/>
              <w:tr2bl w:val="nil"/>
            </w:tcBorders>
            <w:noWrap w:val="0"/>
            <w:vAlign w:val="center"/>
          </w:tcPr>
          <w:p>
            <w:pPr>
              <w:jc w:val="right"/>
              <w:rPr>
                <w:lang w:val="en-US" w:eastAsia="zh-CN"/>
              </w:rPr>
            </w:pPr>
            <w:r>
              <w:rPr>
                <w:rFonts w:ascii="宋体" w:hAnsi="宋体" w:eastAsia="宋体" w:cs="宋体"/>
                <w:b/>
                <w:i w:val="0"/>
                <w:color w:val="000000"/>
                <w:sz w:val="28"/>
                <w:lang w:val="en-US" w:eastAsia="zh-CN"/>
              </w:rPr>
              <w:t>91,286,215.95</w:t>
            </w:r>
          </w:p>
        </w:tc>
        <w:tc>
          <w:tcPr>
            <w:tcW w:w="2960" w:type="dxa"/>
            <w:tcBorders>
              <w:tl2br w:val="nil"/>
              <w:tr2bl w:val="nil"/>
            </w:tcBorders>
            <w:noWrap w:val="0"/>
            <w:vAlign w:val="center"/>
          </w:tcPr>
          <w:p>
            <w:pPr>
              <w:jc w:val="right"/>
              <w:rPr>
                <w:lang w:val="en-US" w:eastAsia="zh-CN"/>
              </w:rPr>
            </w:pPr>
            <w:r>
              <w:rPr>
                <w:rFonts w:ascii="宋体" w:hAnsi="宋体" w:eastAsia="宋体" w:cs="宋体"/>
                <w:b/>
                <w:i w:val="0"/>
                <w:color w:val="000000"/>
                <w:sz w:val="28"/>
                <w:lang w:val="en-US" w:eastAsia="zh-CN"/>
              </w:rPr>
              <w:t>11,690,848.40</w:t>
            </w:r>
          </w:p>
        </w:tc>
        <w:tc>
          <w:tcPr>
            <w:tcW w:w="2978" w:type="dxa"/>
            <w:tcBorders>
              <w:tl2br w:val="nil"/>
              <w:tr2bl w:val="nil"/>
            </w:tcBorders>
            <w:noWrap w:val="0"/>
            <w:vAlign w:val="center"/>
          </w:tcPr>
          <w:p>
            <w:pPr>
              <w:jc w:val="right"/>
              <w:rPr>
                <w:lang w:val="en-US" w:eastAsia="zh-CN"/>
              </w:rPr>
            </w:pPr>
            <w:r>
              <w:rPr>
                <w:rFonts w:ascii="宋体" w:hAnsi="宋体" w:eastAsia="宋体" w:cs="宋体"/>
                <w:b/>
                <w:i w:val="0"/>
                <w:color w:val="000000"/>
                <w:sz w:val="28"/>
                <w:lang w:val="en-US" w:eastAsia="zh-CN"/>
              </w:rPr>
              <w:t>79,595,367.55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一般公共服务支出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9,233,069.45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8,699,179.71</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533,889.74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人大事务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2,100.00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2010199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其他人大事务支出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2,100.00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政府办公厅（室）及相关机构事务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9,228,379.71</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8,699,179.71</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529,200.00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2010301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行政运行</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8,699,179.71</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8,699,179.71</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2010302</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一般行政管理事务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251,200.00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251,200.00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2010308</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信访事务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158,000.00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158,000.00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2010399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其他政府办公厅（室）及相关机构事务支出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120,000.00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20136</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其他共产党事务支出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2,589.74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2,589.74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2013699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其他共产党事务支出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2,589.74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2,589.74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204</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公共安全支出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20499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其他公共安全支出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2049999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其他公共安全支出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60,485.75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205</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教育支出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20599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其他教育支出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2059999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其他教育支出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300,000.00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社会保障和就业支出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1,869,298.67</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1,271,898.67</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597,400.00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20805</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行政事业单位养老支出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1,271,898.67</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1,271,898.67</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2080501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行政单位离退休</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55,908.00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55,908.00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2080505</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机关事业单位基本养老保险缴费支出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795,370.40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795,370.40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2080506</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机关事业单位职业年金缴费支出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420,620.27</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420,620.27</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20820</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临时救助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597,400.00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597,400.00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2082001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临时救助支出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597,400.00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597,400.00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卫生健康支出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790,902.42</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556,199.22</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234,703.20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21004</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公共卫生</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234,703.20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234,703.20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2100408</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基本公共卫生服务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5,400.00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5,400.00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2100410</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突发公共卫生事件应急处理</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229,303.20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229,303.20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21011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行政事业单位医疗</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556,199.22</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556,199.22</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2101101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行政单位医疗</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397,279.98</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397,279.98</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2101103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公务员医疗补助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158,919.24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158,919.24</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节能环保支出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21103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污染防治</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2110301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大气</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14,829,500.00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城乡社区支出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3,615,049.03</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3,615,049.03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城乡社区管理事务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260,171.24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260,171.24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2120102</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一般行政管理事务</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260,171.24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260,171.24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城乡社区公共设施</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580,116.14</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580,116.14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2120303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小城镇基础设施建设</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455,245.17</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455,245.17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2120399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其他城乡社区公共设施支出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124,870.97</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124,870.97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其他城乡社区支出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2,774,761.65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2,774,761.65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2129999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其他城乡社区支出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2,774,761.65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2,774,761.65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农林水支出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59,197,739.83</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59,197,739.83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农业农村</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9,282,941.85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9,282,941.85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2130122</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农业生产发展</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9,052,941.85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9,052,941.85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2130153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农田建设</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230,000.00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230,000.00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水利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387,600.00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387,600.00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2130399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其他水利支出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387,600.00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387,600.00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21305</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巩固脱贫攻坚成果衔接乡村振兴</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22,524,425.00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22,524,425.00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2130599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其他巩固脱贫攻坚成果衔接乡村振兴支出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22,524,425.00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22,524,425.00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21307</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农村综合改革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11,516,192.98</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11,516,192.98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2130701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对村级公益事业建设的补助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6,209,902.73</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6,209,902.73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2130705</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对村民委员会和村党支部的补助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5,204,048.25</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5,204,048.25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2130799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其他农村综合改革支出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102,242.00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102,242.00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其他农林水支出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15,486,580.00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15,486,580.00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2139999</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其他农林水支出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15,486,580.00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15,486,580.00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住房保障支出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1,163,570.80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1,163,570.80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22102</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住房改革支出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1,163,570.80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1,163,570.80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2210201</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住房公积金</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770,233.80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770,233.80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2210203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购房补贴</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393,337.00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393,337.00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224</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灾害防治及应急管理支出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22407</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自然灾害救灾及恢复重建支出</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2240703</w:t>
            </w:r>
          </w:p>
        </w:tc>
        <w:tc>
          <w:tcPr>
            <w:tcW w:w="51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自然灾害救灾补助</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c>
          <w:tcPr>
            <w:tcW w:w="296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0</w:t>
            </w:r>
          </w:p>
        </w:tc>
        <w:tc>
          <w:tcPr>
            <w:tcW w:w="297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8"/>
                <w:lang w:val="en-US" w:eastAsia="zh-CN"/>
              </w:rPr>
              <w:t>226,600.00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94" w:hRule="exact"/>
          <w:jc w:val="center"/>
        </w:trPr>
        <w:tc>
          <w:tcPr>
            <w:tcW w:w="440" w:type="dxa"/>
            <w:gridSpan w:val="7"/>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注：本表反映部门本年度一般公共预算财政拨款支出情况。</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numPr>
          <w:ilvl w:val="0"/>
          <w:numId w:val="0"/>
        </w:numPr>
        <w:jc w:val="center"/>
        <w:outlineLvl w:val="9"/>
        <w:rPr>
          <w:rFonts w:ascii="黑体" w:hAnsi="仿宋" w:eastAsia="黑体"/>
          <w:sz w:val="32"/>
          <w:szCs w:val="32"/>
          <w:lang w:val="en-US" w:eastAsia="zh-CN"/>
        </w:rPr>
      </w:pPr>
      <w:r>
        <w:rPr>
          <w:rFonts w:hint="eastAsia" w:ascii="黑体" w:hAnsi="仿宋" w:eastAsia="黑体"/>
          <w:sz w:val="32"/>
          <w:szCs w:val="32"/>
          <w:lang w:val="en-US" w:eastAsia="zh-CN"/>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20"/>
        <w:gridCol w:w="2940"/>
        <w:gridCol w:w="1500"/>
        <w:gridCol w:w="620"/>
        <w:gridCol w:w="2320"/>
        <w:gridCol w:w="1500"/>
        <w:gridCol w:w="620"/>
        <w:gridCol w:w="3780"/>
        <w:gridCol w:w="14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gridSpan w:val="3"/>
            <w:noWrap w:val="0"/>
            <w:vAlign w:val="center"/>
          </w:tcPr>
          <w:p>
            <w:pPr>
              <w:jc w:val="center"/>
              <w:rPr>
                <w:lang w:val="en-US" w:eastAsia="zh-CN"/>
              </w:rPr>
            </w:pPr>
            <w:r>
              <w:rPr>
                <w:rFonts w:ascii="宋体" w:hAnsi="宋体" w:eastAsia="宋体" w:cs="宋体"/>
                <w:b w:val="0"/>
                <w:i w:val="0"/>
                <w:color w:val="000000"/>
                <w:sz w:val="18"/>
                <w:lang w:val="en-US" w:eastAsia="zh-CN"/>
              </w:rPr>
              <w:t>人员经费</w:t>
            </w:r>
          </w:p>
        </w:tc>
        <w:tc>
          <w:tcPr>
            <w:tcW w:w="620" w:type="dxa"/>
            <w:gridSpan w:val="6"/>
            <w:noWrap w:val="0"/>
            <w:vAlign w:val="center"/>
          </w:tcPr>
          <w:p>
            <w:pPr>
              <w:jc w:val="center"/>
              <w:rPr>
                <w:lang w:val="en-US" w:eastAsia="zh-CN"/>
              </w:rPr>
            </w:pPr>
            <w:r>
              <w:rPr>
                <w:rFonts w:ascii="宋体" w:hAnsi="宋体" w:eastAsia="宋体" w:cs="宋体"/>
                <w:b w:val="0"/>
                <w:i w:val="0"/>
                <w:color w:val="000000"/>
                <w:sz w:val="18"/>
                <w:lang w:val="en-US" w:eastAsia="zh-CN"/>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科目代码</w:t>
            </w:r>
          </w:p>
        </w:tc>
        <w:tc>
          <w:tcPr>
            <w:tcW w:w="29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科目名称</w:t>
            </w:r>
          </w:p>
        </w:tc>
        <w:tc>
          <w:tcPr>
            <w:tcW w:w="15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决算数</w:t>
            </w:r>
          </w:p>
        </w:tc>
        <w:tc>
          <w:tcPr>
            <w:tcW w:w="6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科目代码</w:t>
            </w:r>
          </w:p>
        </w:tc>
        <w:tc>
          <w:tcPr>
            <w:tcW w:w="23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科目名称</w:t>
            </w:r>
          </w:p>
        </w:tc>
        <w:tc>
          <w:tcPr>
            <w:tcW w:w="15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决算数</w:t>
            </w:r>
          </w:p>
        </w:tc>
        <w:tc>
          <w:tcPr>
            <w:tcW w:w="6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科目代码</w:t>
            </w:r>
          </w:p>
        </w:tc>
        <w:tc>
          <w:tcPr>
            <w:tcW w:w="37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科目名称</w:t>
            </w:r>
          </w:p>
        </w:tc>
        <w:tc>
          <w:tcPr>
            <w:tcW w:w="1498"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vMerge w:val="continue"/>
            <w:tcBorders>
              <w:tl2br w:val="nil"/>
              <w:tr2bl w:val="nil"/>
            </w:tcBorders>
            <w:noWrap w:val="0"/>
            <w:vAlign w:val="center"/>
          </w:tcPr>
          <w:p>
            <w:pPr>
              <w:jc w:val="both"/>
              <w:rPr>
                <w:lang w:val="en-US" w:eastAsia="zh-CN"/>
              </w:rPr>
            </w:pPr>
          </w:p>
        </w:tc>
        <w:tc>
          <w:tcPr>
            <w:tcW w:w="2940" w:type="dxa"/>
            <w:vMerge w:val="continue"/>
            <w:tcBorders>
              <w:tl2br w:val="nil"/>
              <w:tr2bl w:val="nil"/>
            </w:tcBorders>
            <w:noWrap w:val="0"/>
            <w:vAlign w:val="center"/>
          </w:tcPr>
          <w:p>
            <w:pPr>
              <w:jc w:val="both"/>
              <w:rPr>
                <w:lang w:val="en-US" w:eastAsia="zh-CN"/>
              </w:rPr>
            </w:pPr>
          </w:p>
        </w:tc>
        <w:tc>
          <w:tcPr>
            <w:tcW w:w="1500" w:type="dxa"/>
            <w:vMerge w:val="continue"/>
            <w:tcBorders>
              <w:tl2br w:val="nil"/>
              <w:tr2bl w:val="nil"/>
            </w:tcBorders>
            <w:noWrap w:val="0"/>
            <w:vAlign w:val="center"/>
          </w:tcPr>
          <w:p>
            <w:pPr>
              <w:jc w:val="both"/>
              <w:rPr>
                <w:lang w:val="en-US" w:eastAsia="zh-CN"/>
              </w:rPr>
            </w:pPr>
          </w:p>
        </w:tc>
        <w:tc>
          <w:tcPr>
            <w:tcW w:w="620" w:type="dxa"/>
            <w:vMerge w:val="continue"/>
            <w:tcBorders>
              <w:tl2br w:val="nil"/>
              <w:tr2bl w:val="nil"/>
            </w:tcBorders>
            <w:noWrap w:val="0"/>
            <w:vAlign w:val="center"/>
          </w:tcPr>
          <w:p>
            <w:pPr>
              <w:jc w:val="both"/>
              <w:rPr>
                <w:lang w:val="en-US" w:eastAsia="zh-CN"/>
              </w:rPr>
            </w:pPr>
          </w:p>
        </w:tc>
        <w:tc>
          <w:tcPr>
            <w:tcW w:w="2320" w:type="dxa"/>
            <w:vMerge w:val="continue"/>
            <w:tcBorders>
              <w:tl2br w:val="nil"/>
              <w:tr2bl w:val="nil"/>
            </w:tcBorders>
            <w:noWrap w:val="0"/>
            <w:vAlign w:val="center"/>
          </w:tcPr>
          <w:p>
            <w:pPr>
              <w:jc w:val="both"/>
              <w:rPr>
                <w:lang w:val="en-US" w:eastAsia="zh-CN"/>
              </w:rPr>
            </w:pPr>
          </w:p>
        </w:tc>
        <w:tc>
          <w:tcPr>
            <w:tcW w:w="1500" w:type="dxa"/>
            <w:vMerge w:val="continue"/>
            <w:tcBorders>
              <w:tl2br w:val="nil"/>
              <w:tr2bl w:val="nil"/>
            </w:tcBorders>
            <w:noWrap w:val="0"/>
            <w:vAlign w:val="center"/>
          </w:tcPr>
          <w:p>
            <w:pPr>
              <w:jc w:val="both"/>
              <w:rPr>
                <w:lang w:val="en-US" w:eastAsia="zh-CN"/>
              </w:rPr>
            </w:pPr>
          </w:p>
        </w:tc>
        <w:tc>
          <w:tcPr>
            <w:tcW w:w="620" w:type="dxa"/>
            <w:vMerge w:val="continue"/>
            <w:tcBorders>
              <w:tl2br w:val="nil"/>
              <w:tr2bl w:val="nil"/>
            </w:tcBorders>
            <w:noWrap w:val="0"/>
            <w:vAlign w:val="center"/>
          </w:tcPr>
          <w:p>
            <w:pPr>
              <w:jc w:val="both"/>
              <w:rPr>
                <w:lang w:val="en-US" w:eastAsia="zh-CN"/>
              </w:rPr>
            </w:pPr>
          </w:p>
        </w:tc>
        <w:tc>
          <w:tcPr>
            <w:tcW w:w="3780" w:type="dxa"/>
            <w:vMerge w:val="continue"/>
            <w:tcBorders>
              <w:tl2br w:val="nil"/>
              <w:tr2bl w:val="nil"/>
            </w:tcBorders>
            <w:noWrap w:val="0"/>
            <w:vAlign w:val="center"/>
          </w:tcPr>
          <w:p>
            <w:pPr>
              <w:jc w:val="both"/>
              <w:rPr>
                <w:lang w:val="en-US" w:eastAsia="zh-CN"/>
              </w:rPr>
            </w:pPr>
          </w:p>
        </w:tc>
        <w:tc>
          <w:tcPr>
            <w:tcW w:w="149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工资福利支出</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10,954,578.07</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商品和服务支出</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466,278.33</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307</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债务利息及费用支出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30101</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基本工资</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1,069,760.00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30201</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办公费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170,873.00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30701</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国内债务付息</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30102</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津贴补贴</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7,119,963.50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30202</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印刷费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30702</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国外债务付息</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30103</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奖金</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200,345.00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30203</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咨询费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资本性支出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30106</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伙食补助费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30204</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手续费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31001</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房屋建筑物购建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30107</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绩效工资</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30205</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10,000.00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31002</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办公设备购置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30108</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机关事业单位基本养老保险缴费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795,370.40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30206</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电费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30,000.00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31003</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专用设备购置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30109</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职业年金缴费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420,620.27</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30207</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邮电费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4,736.41</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31005</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基础设施建设</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30110</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职工基本医疗保险缴费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397,279.98</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30208</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取暖费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120,000.00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31006</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大型修缮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30111</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公务员医疗补助缴费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158,919.24</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30209</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物业管理费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31007</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信息网络及软件购置更新</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30112</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其他社会保障缴费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22,085.88</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30211</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差旅费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20,800.00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31008</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物资储备</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30113</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住房公积金</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770,233.80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30212</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因公出国（境）费用</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31009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土地补偿</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30114</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医疗费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30213</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维修（护）费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31010</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安置补助</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30199</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其他工资福利支出</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30214</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租赁费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31011</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地上附着物和青苗补偿</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对个人和家庭的补助</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269,992.00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30215</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会议费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31012</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拆迁补偿</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30301</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离休费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30216</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培训费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2,113.00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31013</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公务用车购置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30302</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退休费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55,908.00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30217</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公务接待费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31019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其他交通工具购置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30303</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退职（役）费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30218</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专用材料费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31021</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文物和陈列品购置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30304</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抚恤金</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30224</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被装购置费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31022</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无形资产购置</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30305</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生活补助</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214,084.00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30225</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专用燃料费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31099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其他资本性支出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30306</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救济费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30226</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劳务费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其他支出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30307</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医疗费补助</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30227</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委托业务费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39907</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国家赔偿费用支出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30308</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助学金</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30228</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工会经费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40,615.92</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39908</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对民间非营利组织和群众性自治组织补贴</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30309</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奖励金</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30229</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福利费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39909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经常性赠与</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30310</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个人农业生产补贴</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30231</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公务用车运行维护费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39910</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资本性赠与</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30311</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代缴社会保险费</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30239</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其他交通费用</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23,400.00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39999</w:t>
            </w:r>
          </w:p>
        </w:tc>
        <w:tc>
          <w:tcPr>
            <w:tcW w:w="378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其他支出</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30399</w:t>
            </w:r>
          </w:p>
        </w:tc>
        <w:tc>
          <w:tcPr>
            <w:tcW w:w="29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其他对个人和家庭的补助</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30240</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税金及附加费用</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0</w:t>
            </w:r>
          </w:p>
        </w:tc>
        <w:tc>
          <w:tcPr>
            <w:tcW w:w="620" w:type="dxa"/>
            <w:tcBorders>
              <w:tl2br w:val="nil"/>
              <w:tr2bl w:val="nil"/>
            </w:tcBorders>
            <w:noWrap w:val="0"/>
            <w:vAlign w:val="center"/>
          </w:tcPr>
          <w:p>
            <w:pPr>
              <w:jc w:val="both"/>
              <w:rPr>
                <w:lang w:val="en-US" w:eastAsia="zh-CN"/>
              </w:rPr>
            </w:pPr>
          </w:p>
        </w:tc>
        <w:tc>
          <w:tcPr>
            <w:tcW w:w="3780" w:type="dxa"/>
            <w:tcBorders>
              <w:tl2br w:val="nil"/>
              <w:tr2bl w:val="nil"/>
            </w:tcBorders>
            <w:noWrap w:val="0"/>
            <w:vAlign w:val="center"/>
          </w:tcPr>
          <w:p>
            <w:pPr>
              <w:jc w:val="both"/>
              <w:rPr>
                <w:lang w:val="en-US" w:eastAsia="zh-CN"/>
              </w:rPr>
            </w:pPr>
          </w:p>
        </w:tc>
        <w:tc>
          <w:tcPr>
            <w:tcW w:w="149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tcBorders>
              <w:tl2br w:val="nil"/>
              <w:tr2bl w:val="nil"/>
            </w:tcBorders>
            <w:noWrap w:val="0"/>
            <w:vAlign w:val="center"/>
          </w:tcPr>
          <w:p>
            <w:pPr>
              <w:jc w:val="both"/>
              <w:rPr>
                <w:lang w:val="en-US" w:eastAsia="zh-CN"/>
              </w:rPr>
            </w:pPr>
          </w:p>
        </w:tc>
        <w:tc>
          <w:tcPr>
            <w:tcW w:w="2940" w:type="dxa"/>
            <w:tcBorders>
              <w:tl2br w:val="nil"/>
              <w:tr2bl w:val="nil"/>
            </w:tcBorders>
            <w:noWrap w:val="0"/>
            <w:vAlign w:val="center"/>
          </w:tcPr>
          <w:p>
            <w:pPr>
              <w:jc w:val="both"/>
              <w:rPr>
                <w:lang w:val="en-US" w:eastAsia="zh-CN"/>
              </w:rPr>
            </w:pPr>
          </w:p>
        </w:tc>
        <w:tc>
          <w:tcPr>
            <w:tcW w:w="1500" w:type="dxa"/>
            <w:tcBorders>
              <w:tl2br w:val="nil"/>
              <w:tr2bl w:val="nil"/>
            </w:tcBorders>
            <w:noWrap w:val="0"/>
            <w:vAlign w:val="center"/>
          </w:tcPr>
          <w:p>
            <w:pPr>
              <w:jc w:val="both"/>
              <w:rPr>
                <w:lang w:val="en-US" w:eastAsia="zh-CN"/>
              </w:rPr>
            </w:pPr>
          </w:p>
        </w:tc>
        <w:tc>
          <w:tcPr>
            <w:tcW w:w="6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30299</w:t>
            </w:r>
          </w:p>
        </w:tc>
        <w:tc>
          <w:tcPr>
            <w:tcW w:w="2320" w:type="dxa"/>
            <w:tcBorders>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 xml:space="preserve">  其他商品和服务支出</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43,740.00</w:t>
            </w:r>
          </w:p>
        </w:tc>
        <w:tc>
          <w:tcPr>
            <w:tcW w:w="620" w:type="dxa"/>
            <w:tcBorders>
              <w:tl2br w:val="nil"/>
              <w:tr2bl w:val="nil"/>
            </w:tcBorders>
            <w:noWrap w:val="0"/>
            <w:vAlign w:val="center"/>
          </w:tcPr>
          <w:p>
            <w:pPr>
              <w:jc w:val="both"/>
              <w:rPr>
                <w:lang w:val="en-US" w:eastAsia="zh-CN"/>
              </w:rPr>
            </w:pPr>
          </w:p>
        </w:tc>
        <w:tc>
          <w:tcPr>
            <w:tcW w:w="3780" w:type="dxa"/>
            <w:tcBorders>
              <w:tl2br w:val="nil"/>
              <w:tr2bl w:val="nil"/>
            </w:tcBorders>
            <w:noWrap w:val="0"/>
            <w:vAlign w:val="center"/>
          </w:tcPr>
          <w:p>
            <w:pPr>
              <w:jc w:val="both"/>
              <w:rPr>
                <w:lang w:val="en-US" w:eastAsia="zh-CN"/>
              </w:rPr>
            </w:pPr>
          </w:p>
        </w:tc>
        <w:tc>
          <w:tcPr>
            <w:tcW w:w="149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gridSpan w:val="2"/>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人员经费合计</w:t>
            </w:r>
          </w:p>
        </w:tc>
        <w:tc>
          <w:tcPr>
            <w:tcW w:w="150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11,224,570.07</w:t>
            </w:r>
          </w:p>
        </w:tc>
        <w:tc>
          <w:tcPr>
            <w:tcW w:w="620" w:type="dxa"/>
            <w:gridSpan w:val="5"/>
            <w:tcBorders>
              <w:tl2br w:val="nil"/>
              <w:tr2bl w:val="nil"/>
            </w:tcBorders>
            <w:noWrap w:val="0"/>
            <w:vAlign w:val="center"/>
          </w:tcPr>
          <w:p>
            <w:pPr>
              <w:jc w:val="center"/>
              <w:rPr>
                <w:lang w:val="en-US" w:eastAsia="zh-CN"/>
              </w:rPr>
            </w:pPr>
            <w:r>
              <w:rPr>
                <w:rFonts w:ascii="宋体" w:hAnsi="宋体" w:eastAsia="宋体" w:cs="宋体"/>
                <w:b w:val="0"/>
                <w:i w:val="0"/>
                <w:color w:val="000000"/>
                <w:sz w:val="18"/>
                <w:lang w:val="en-US" w:eastAsia="zh-CN"/>
              </w:rPr>
              <w:t>公用经费合计</w:t>
            </w:r>
          </w:p>
        </w:tc>
        <w:tc>
          <w:tcPr>
            <w:tcW w:w="149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18"/>
                <w:lang w:val="en-US" w:eastAsia="zh-CN"/>
              </w:rPr>
              <w:t>466,278.33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6" w:hRule="exact"/>
          <w:jc w:val="center"/>
        </w:trPr>
        <w:tc>
          <w:tcPr>
            <w:tcW w:w="620" w:type="dxa"/>
            <w:gridSpan w:val="9"/>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18"/>
                <w:lang w:val="en-US" w:eastAsia="zh-CN"/>
              </w:rPr>
              <w:t>注：本表反映部门本年度一般公共预算财政拨款基本支出明细情况。</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numPr>
          <w:ilvl w:val="0"/>
          <w:numId w:val="0"/>
        </w:numPr>
        <w:jc w:val="center"/>
        <w:outlineLvl w:val="9"/>
        <w:rPr>
          <w:rFonts w:ascii="黑体" w:hAnsi="仿宋" w:eastAsia="黑体"/>
          <w:sz w:val="32"/>
          <w:szCs w:val="32"/>
          <w:lang w:val="en-US" w:eastAsia="zh-CN"/>
        </w:rPr>
      </w:pPr>
      <w:r>
        <w:rPr>
          <w:rFonts w:hint="eastAsia" w:ascii="黑体" w:hAnsi="仿宋" w:eastAsia="黑体"/>
          <w:sz w:val="32"/>
          <w:szCs w:val="32"/>
          <w:lang w:val="en-US" w:eastAsia="zh-CN"/>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280"/>
        <w:gridCol w:w="1280"/>
        <w:gridCol w:w="1280"/>
        <w:gridCol w:w="1280"/>
        <w:gridCol w:w="1280"/>
        <w:gridCol w:w="1280"/>
        <w:gridCol w:w="1280"/>
        <w:gridCol w:w="1280"/>
        <w:gridCol w:w="1280"/>
        <w:gridCol w:w="1280"/>
        <w:gridCol w:w="1280"/>
        <w:gridCol w:w="13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0" w:hRule="exact"/>
          <w:jc w:val="center"/>
        </w:trPr>
        <w:tc>
          <w:tcPr>
            <w:tcW w:w="1280" w:type="dxa"/>
            <w:gridSpan w:val="6"/>
            <w:noWrap w:val="0"/>
            <w:vAlign w:val="center"/>
          </w:tcPr>
          <w:p>
            <w:pPr>
              <w:jc w:val="center"/>
              <w:rPr>
                <w:lang w:val="en-US" w:eastAsia="zh-CN"/>
              </w:rPr>
            </w:pPr>
            <w:r>
              <w:rPr>
                <w:rFonts w:ascii="宋体" w:hAnsi="宋体" w:eastAsia="宋体" w:cs="宋体"/>
                <w:b w:val="0"/>
                <w:i w:val="0"/>
                <w:color w:val="000000"/>
                <w:sz w:val="19"/>
                <w:lang w:val="en-US" w:eastAsia="zh-CN"/>
              </w:rPr>
              <w:t>预算数</w:t>
            </w:r>
          </w:p>
        </w:tc>
        <w:tc>
          <w:tcPr>
            <w:tcW w:w="1280" w:type="dxa"/>
            <w:gridSpan w:val="6"/>
            <w:noWrap w:val="0"/>
            <w:vAlign w:val="center"/>
          </w:tcPr>
          <w:p>
            <w:pPr>
              <w:jc w:val="center"/>
              <w:rPr>
                <w:lang w:val="en-US" w:eastAsia="zh-CN"/>
              </w:rPr>
            </w:pPr>
            <w:r>
              <w:rPr>
                <w:rFonts w:ascii="宋体" w:hAnsi="宋体" w:eastAsia="宋体" w:cs="宋体"/>
                <w:b w:val="0"/>
                <w:i w:val="0"/>
                <w:color w:val="000000"/>
                <w:sz w:val="19"/>
                <w:lang w:val="en-US" w:eastAsia="zh-CN"/>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0" w:hRule="exact"/>
          <w:jc w:val="center"/>
        </w:trPr>
        <w:tc>
          <w:tcPr>
            <w:tcW w:w="12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合计</w:t>
            </w:r>
          </w:p>
        </w:tc>
        <w:tc>
          <w:tcPr>
            <w:tcW w:w="12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因公出国（境）费</w:t>
            </w:r>
          </w:p>
        </w:tc>
        <w:tc>
          <w:tcPr>
            <w:tcW w:w="1280" w:type="dxa"/>
            <w:gridSpan w:val="3"/>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公务用车购置及运行维护费</w:t>
            </w:r>
          </w:p>
        </w:tc>
        <w:tc>
          <w:tcPr>
            <w:tcW w:w="12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公务接待费</w:t>
            </w:r>
          </w:p>
        </w:tc>
        <w:tc>
          <w:tcPr>
            <w:tcW w:w="12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合计</w:t>
            </w:r>
          </w:p>
        </w:tc>
        <w:tc>
          <w:tcPr>
            <w:tcW w:w="12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因公出国（境）费</w:t>
            </w:r>
          </w:p>
        </w:tc>
        <w:tc>
          <w:tcPr>
            <w:tcW w:w="1280" w:type="dxa"/>
            <w:gridSpan w:val="3"/>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公务用车购置及运行维护费</w:t>
            </w:r>
          </w:p>
        </w:tc>
        <w:tc>
          <w:tcPr>
            <w:tcW w:w="1318"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公务接待费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819" w:hRule="exact"/>
          <w:jc w:val="center"/>
        </w:trPr>
        <w:tc>
          <w:tcPr>
            <w:tcW w:w="1280" w:type="dxa"/>
            <w:vMerge w:val="continue"/>
            <w:tcBorders>
              <w:tl2br w:val="nil"/>
              <w:tr2bl w:val="nil"/>
            </w:tcBorders>
            <w:noWrap w:val="0"/>
            <w:vAlign w:val="center"/>
          </w:tcPr>
          <w:p>
            <w:pPr>
              <w:jc w:val="both"/>
              <w:rPr>
                <w:lang w:val="en-US" w:eastAsia="zh-CN"/>
              </w:rPr>
            </w:pPr>
          </w:p>
        </w:tc>
        <w:tc>
          <w:tcPr>
            <w:tcW w:w="1280" w:type="dxa"/>
            <w:vMerge w:val="continue"/>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小计</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公务用车购置费</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公务用车运行维护费</w:t>
            </w:r>
          </w:p>
        </w:tc>
        <w:tc>
          <w:tcPr>
            <w:tcW w:w="1280" w:type="dxa"/>
            <w:vMerge w:val="continue"/>
            <w:tcBorders>
              <w:tl2br w:val="nil"/>
              <w:tr2bl w:val="nil"/>
            </w:tcBorders>
            <w:noWrap w:val="0"/>
            <w:vAlign w:val="center"/>
          </w:tcPr>
          <w:p>
            <w:pPr>
              <w:jc w:val="both"/>
              <w:rPr>
                <w:lang w:val="en-US" w:eastAsia="zh-CN"/>
              </w:rPr>
            </w:pPr>
          </w:p>
        </w:tc>
        <w:tc>
          <w:tcPr>
            <w:tcW w:w="1280" w:type="dxa"/>
            <w:vMerge w:val="continue"/>
            <w:tcBorders>
              <w:tl2br w:val="nil"/>
              <w:tr2bl w:val="nil"/>
            </w:tcBorders>
            <w:noWrap w:val="0"/>
            <w:vAlign w:val="center"/>
          </w:tcPr>
          <w:p>
            <w:pPr>
              <w:jc w:val="both"/>
              <w:rPr>
                <w:lang w:val="en-US" w:eastAsia="zh-CN"/>
              </w:rPr>
            </w:pPr>
          </w:p>
        </w:tc>
        <w:tc>
          <w:tcPr>
            <w:tcW w:w="1280" w:type="dxa"/>
            <w:vMerge w:val="continue"/>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小计</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公务用车购置费</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公务用车运行维护费</w:t>
            </w:r>
          </w:p>
        </w:tc>
        <w:tc>
          <w:tcPr>
            <w:tcW w:w="131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0" w:hRule="exact"/>
          <w:jc w:val="center"/>
        </w:trPr>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10</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2</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3</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4</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5</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6</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7</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8</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9</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10</w:t>
            </w:r>
          </w:p>
        </w:tc>
        <w:tc>
          <w:tcPr>
            <w:tcW w:w="12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11</w:t>
            </w:r>
          </w:p>
        </w:tc>
        <w:tc>
          <w:tcPr>
            <w:tcW w:w="131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19"/>
                <w:lang w:val="en-US" w:eastAsia="zh-CN"/>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0" w:hRule="exact"/>
          <w:jc w:val="center"/>
        </w:trPr>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280" w:type="dxa"/>
            <w:tcBorders>
              <w:tl2br w:val="nil"/>
              <w:tr2bl w:val="nil"/>
            </w:tcBorders>
            <w:noWrap w:val="0"/>
            <w:vAlign w:val="center"/>
          </w:tcPr>
          <w:p>
            <w:pPr>
              <w:jc w:val="both"/>
              <w:rPr>
                <w:lang w:val="en-US" w:eastAsia="zh-CN"/>
              </w:rPr>
            </w:pPr>
          </w:p>
        </w:tc>
        <w:tc>
          <w:tcPr>
            <w:tcW w:w="131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819" w:hRule="exact"/>
          <w:jc w:val="center"/>
        </w:trPr>
        <w:tc>
          <w:tcPr>
            <w:tcW w:w="1280" w:type="dxa"/>
            <w:gridSpan w:val="12"/>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19"/>
                <w:lang w:val="en-US" w:eastAsia="zh-CN"/>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numPr>
          <w:ilvl w:val="0"/>
          <w:numId w:val="0"/>
        </w:numPr>
        <w:jc w:val="center"/>
        <w:outlineLvl w:val="9"/>
        <w:rPr>
          <w:rFonts w:ascii="黑体" w:hAnsi="仿宋" w:eastAsia="黑体"/>
          <w:sz w:val="32"/>
          <w:szCs w:val="32"/>
          <w:lang w:val="en-US" w:eastAsia="zh-CN"/>
        </w:rPr>
      </w:pPr>
      <w:r>
        <w:rPr>
          <w:rFonts w:hint="eastAsia" w:ascii="黑体" w:hAnsi="仿宋" w:eastAsia="黑体"/>
          <w:sz w:val="32"/>
          <w:szCs w:val="32"/>
          <w:lang w:val="en-US" w:eastAsia="zh-CN"/>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40"/>
        <w:gridCol w:w="340"/>
        <w:gridCol w:w="340"/>
        <w:gridCol w:w="4040"/>
        <w:gridCol w:w="1720"/>
        <w:gridCol w:w="1720"/>
        <w:gridCol w:w="1720"/>
        <w:gridCol w:w="1720"/>
        <w:gridCol w:w="1720"/>
        <w:gridCol w:w="17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4"/>
            <w:noWrap w:val="0"/>
            <w:vAlign w:val="center"/>
          </w:tcPr>
          <w:p>
            <w:pPr>
              <w:jc w:val="center"/>
              <w:rPr>
                <w:lang w:val="en-US" w:eastAsia="zh-CN"/>
              </w:rPr>
            </w:pPr>
            <w:r>
              <w:rPr>
                <w:rFonts w:ascii="宋体" w:hAnsi="宋体" w:eastAsia="宋体" w:cs="宋体"/>
                <w:b w:val="0"/>
                <w:i w:val="0"/>
                <w:color w:val="000000"/>
                <w:sz w:val="22"/>
                <w:lang w:val="en-US" w:eastAsia="zh-CN"/>
              </w:rPr>
              <w:t>项目</w:t>
            </w:r>
          </w:p>
        </w:tc>
        <w:tc>
          <w:tcPr>
            <w:tcW w:w="1720" w:type="dxa"/>
            <w:vMerge w:val="restart"/>
            <w:noWrap w:val="0"/>
            <w:vAlign w:val="center"/>
          </w:tcPr>
          <w:p>
            <w:pPr>
              <w:jc w:val="center"/>
              <w:rPr>
                <w:lang w:val="en-US" w:eastAsia="zh-CN"/>
              </w:rPr>
            </w:pPr>
            <w:r>
              <w:rPr>
                <w:rFonts w:ascii="宋体" w:hAnsi="宋体" w:eastAsia="宋体" w:cs="宋体"/>
                <w:b w:val="0"/>
                <w:i w:val="0"/>
                <w:color w:val="000000"/>
                <w:sz w:val="22"/>
                <w:lang w:val="en-US" w:eastAsia="zh-CN"/>
              </w:rPr>
              <w:t>年初结转和结余</w:t>
            </w:r>
          </w:p>
        </w:tc>
        <w:tc>
          <w:tcPr>
            <w:tcW w:w="1720" w:type="dxa"/>
            <w:vMerge w:val="restart"/>
            <w:noWrap w:val="0"/>
            <w:vAlign w:val="center"/>
          </w:tcPr>
          <w:p>
            <w:pPr>
              <w:jc w:val="center"/>
              <w:rPr>
                <w:lang w:val="en-US" w:eastAsia="zh-CN"/>
              </w:rPr>
            </w:pPr>
            <w:r>
              <w:rPr>
                <w:rFonts w:ascii="宋体" w:hAnsi="宋体" w:eastAsia="宋体" w:cs="宋体"/>
                <w:b w:val="0"/>
                <w:i w:val="0"/>
                <w:color w:val="000000"/>
                <w:sz w:val="22"/>
                <w:lang w:val="en-US" w:eastAsia="zh-CN"/>
              </w:rPr>
              <w:t>本年收入</w:t>
            </w:r>
          </w:p>
        </w:tc>
        <w:tc>
          <w:tcPr>
            <w:tcW w:w="1720" w:type="dxa"/>
            <w:gridSpan w:val="3"/>
            <w:noWrap w:val="0"/>
            <w:vAlign w:val="center"/>
          </w:tcPr>
          <w:p>
            <w:pPr>
              <w:jc w:val="center"/>
              <w:rPr>
                <w:lang w:val="en-US" w:eastAsia="zh-CN"/>
              </w:rPr>
            </w:pPr>
            <w:r>
              <w:rPr>
                <w:rFonts w:ascii="宋体" w:hAnsi="宋体" w:eastAsia="宋体" w:cs="宋体"/>
                <w:b w:val="0"/>
                <w:i w:val="0"/>
                <w:color w:val="000000"/>
                <w:sz w:val="22"/>
                <w:lang w:val="en-US" w:eastAsia="zh-CN"/>
              </w:rPr>
              <w:t>本年支出</w:t>
            </w:r>
          </w:p>
        </w:tc>
        <w:tc>
          <w:tcPr>
            <w:tcW w:w="1738" w:type="dxa"/>
            <w:vMerge w:val="restart"/>
            <w:noWrap w:val="0"/>
            <w:vAlign w:val="center"/>
          </w:tcPr>
          <w:p>
            <w:pPr>
              <w:jc w:val="center"/>
              <w:rPr>
                <w:lang w:val="en-US" w:eastAsia="zh-CN"/>
              </w:rPr>
            </w:pPr>
            <w:r>
              <w:rPr>
                <w:rFonts w:ascii="宋体" w:hAnsi="宋体" w:eastAsia="宋体" w:cs="宋体"/>
                <w:b w:val="0"/>
                <w:i w:val="0"/>
                <w:color w:val="000000"/>
                <w:sz w:val="22"/>
                <w:lang w:val="en-US" w:eastAsia="zh-CN"/>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3"/>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功能分类科目代码</w:t>
            </w:r>
          </w:p>
        </w:tc>
        <w:tc>
          <w:tcPr>
            <w:tcW w:w="40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科目名称</w:t>
            </w: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小计</w:t>
            </w:r>
          </w:p>
        </w:tc>
        <w:tc>
          <w:tcPr>
            <w:tcW w:w="17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基本支出</w:t>
            </w:r>
          </w:p>
        </w:tc>
        <w:tc>
          <w:tcPr>
            <w:tcW w:w="17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项目支出</w:t>
            </w:r>
          </w:p>
        </w:tc>
        <w:tc>
          <w:tcPr>
            <w:tcW w:w="173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3"/>
            <w:vMerge w:val="continue"/>
            <w:tcBorders>
              <w:tl2br w:val="nil"/>
              <w:tr2bl w:val="nil"/>
            </w:tcBorders>
            <w:noWrap w:val="0"/>
            <w:vAlign w:val="center"/>
          </w:tcPr>
          <w:p>
            <w:pPr>
              <w:jc w:val="both"/>
              <w:rPr>
                <w:lang w:val="en-US" w:eastAsia="zh-CN"/>
              </w:rPr>
            </w:pPr>
          </w:p>
        </w:tc>
        <w:tc>
          <w:tcPr>
            <w:tcW w:w="404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3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62" w:hRule="exact"/>
          <w:jc w:val="center"/>
        </w:trPr>
        <w:tc>
          <w:tcPr>
            <w:tcW w:w="340" w:type="dxa"/>
            <w:gridSpan w:val="3"/>
            <w:vMerge w:val="continue"/>
            <w:tcBorders>
              <w:tl2br w:val="nil"/>
              <w:tr2bl w:val="nil"/>
            </w:tcBorders>
            <w:noWrap w:val="0"/>
            <w:vAlign w:val="center"/>
          </w:tcPr>
          <w:p>
            <w:pPr>
              <w:jc w:val="both"/>
              <w:rPr>
                <w:lang w:val="en-US" w:eastAsia="zh-CN"/>
              </w:rPr>
            </w:pPr>
          </w:p>
        </w:tc>
        <w:tc>
          <w:tcPr>
            <w:tcW w:w="404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20" w:type="dxa"/>
            <w:vMerge w:val="continue"/>
            <w:tcBorders>
              <w:tl2br w:val="nil"/>
              <w:tr2bl w:val="nil"/>
            </w:tcBorders>
            <w:noWrap w:val="0"/>
            <w:vAlign w:val="center"/>
          </w:tcPr>
          <w:p>
            <w:pPr>
              <w:jc w:val="both"/>
              <w:rPr>
                <w:lang w:val="en-US" w:eastAsia="zh-CN"/>
              </w:rPr>
            </w:pPr>
          </w:p>
        </w:tc>
        <w:tc>
          <w:tcPr>
            <w:tcW w:w="173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类</w:t>
            </w:r>
          </w:p>
        </w:tc>
        <w:tc>
          <w:tcPr>
            <w:tcW w:w="3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款</w:t>
            </w:r>
          </w:p>
        </w:tc>
        <w:tc>
          <w:tcPr>
            <w:tcW w:w="34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项</w:t>
            </w:r>
          </w:p>
        </w:tc>
        <w:tc>
          <w:tcPr>
            <w:tcW w:w="404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栏次</w:t>
            </w:r>
          </w:p>
        </w:tc>
        <w:tc>
          <w:tcPr>
            <w:tcW w:w="17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1</w:t>
            </w:r>
          </w:p>
        </w:tc>
        <w:tc>
          <w:tcPr>
            <w:tcW w:w="17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2</w:t>
            </w:r>
          </w:p>
        </w:tc>
        <w:tc>
          <w:tcPr>
            <w:tcW w:w="17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3</w:t>
            </w:r>
          </w:p>
        </w:tc>
        <w:tc>
          <w:tcPr>
            <w:tcW w:w="17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4</w:t>
            </w:r>
          </w:p>
        </w:tc>
        <w:tc>
          <w:tcPr>
            <w:tcW w:w="172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5</w:t>
            </w:r>
          </w:p>
        </w:tc>
        <w:tc>
          <w:tcPr>
            <w:tcW w:w="173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vMerge w:val="continue"/>
            <w:tcBorders>
              <w:tl2br w:val="nil"/>
              <w:tr2bl w:val="nil"/>
            </w:tcBorders>
            <w:noWrap w:val="0"/>
            <w:vAlign w:val="center"/>
          </w:tcPr>
          <w:p>
            <w:pPr>
              <w:jc w:val="both"/>
              <w:rPr>
                <w:lang w:val="en-US" w:eastAsia="zh-CN"/>
              </w:rPr>
            </w:pPr>
          </w:p>
        </w:tc>
        <w:tc>
          <w:tcPr>
            <w:tcW w:w="340" w:type="dxa"/>
            <w:vMerge w:val="continue"/>
            <w:tcBorders>
              <w:tl2br w:val="nil"/>
              <w:tr2bl w:val="nil"/>
            </w:tcBorders>
            <w:noWrap w:val="0"/>
            <w:vAlign w:val="center"/>
          </w:tcPr>
          <w:p>
            <w:pPr>
              <w:jc w:val="both"/>
              <w:rPr>
                <w:lang w:val="en-US" w:eastAsia="zh-CN"/>
              </w:rPr>
            </w:pPr>
          </w:p>
        </w:tc>
        <w:tc>
          <w:tcPr>
            <w:tcW w:w="340" w:type="dxa"/>
            <w:vMerge w:val="continue"/>
            <w:tcBorders>
              <w:tl2br w:val="nil"/>
              <w:tr2bl w:val="nil"/>
            </w:tcBorders>
            <w:noWrap w:val="0"/>
            <w:vAlign w:val="center"/>
          </w:tcPr>
          <w:p>
            <w:pPr>
              <w:jc w:val="both"/>
              <w:rPr>
                <w:lang w:val="en-US" w:eastAsia="zh-CN"/>
              </w:rPr>
            </w:pPr>
          </w:p>
        </w:tc>
        <w:tc>
          <w:tcPr>
            <w:tcW w:w="404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2"/>
                <w:lang w:val="en-US" w:eastAsia="zh-CN"/>
              </w:rPr>
              <w:t>合计</w:t>
            </w:r>
          </w:p>
        </w:tc>
        <w:tc>
          <w:tcPr>
            <w:tcW w:w="1720"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5,037,857.20</w:t>
            </w:r>
          </w:p>
        </w:tc>
        <w:tc>
          <w:tcPr>
            <w:tcW w:w="1738" w:type="dxa"/>
            <w:tcBorders>
              <w:tl2br w:val="nil"/>
              <w:tr2bl w:val="nil"/>
            </w:tcBorders>
            <w:noWrap w:val="0"/>
            <w:vAlign w:val="center"/>
          </w:tcPr>
          <w:p>
            <w:pPr>
              <w:jc w:val="right"/>
              <w:rPr>
                <w:lang w:val="en-US" w:eastAsia="zh-CN"/>
              </w:rPr>
            </w:pPr>
            <w:r>
              <w:rPr>
                <w:rFonts w:ascii="宋体" w:hAnsi="宋体" w:eastAsia="宋体" w:cs="宋体"/>
                <w:b/>
                <w:i w:val="0"/>
                <w:color w:val="000000"/>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212</w:t>
            </w:r>
          </w:p>
        </w:tc>
        <w:tc>
          <w:tcPr>
            <w:tcW w:w="4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城乡社区支出</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3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62" w:hRule="exact"/>
          <w:jc w:val="center"/>
        </w:trPr>
        <w:tc>
          <w:tcPr>
            <w:tcW w:w="3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21208</w:t>
            </w:r>
          </w:p>
        </w:tc>
        <w:tc>
          <w:tcPr>
            <w:tcW w:w="4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国有土地使用权出让收入安排的支出</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3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3"/>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2120801</w:t>
            </w:r>
          </w:p>
        </w:tc>
        <w:tc>
          <w:tcPr>
            <w:tcW w:w="4040" w:type="dxa"/>
            <w:tcBorders>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征地和拆迁补偿支出</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c>
          <w:tcPr>
            <w:tcW w:w="1720"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5,037,857.20</w:t>
            </w:r>
          </w:p>
        </w:tc>
        <w:tc>
          <w:tcPr>
            <w:tcW w:w="1738" w:type="dxa"/>
            <w:tcBorders>
              <w:tl2br w:val="nil"/>
              <w:tr2bl w:val="nil"/>
            </w:tcBorders>
            <w:noWrap w:val="0"/>
            <w:vAlign w:val="center"/>
          </w:tcPr>
          <w:p>
            <w:pPr>
              <w:jc w:val="right"/>
              <w:rPr>
                <w:lang w:val="en-US" w:eastAsia="zh-CN"/>
              </w:rPr>
            </w:pPr>
            <w:r>
              <w:rPr>
                <w:rFonts w:ascii="宋体" w:hAnsi="宋体" w:eastAsia="宋体" w:cs="宋体"/>
                <w:b w:val="0"/>
                <w:i w:val="0"/>
                <w:color w:val="000000"/>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62" w:hRule="exact"/>
          <w:jc w:val="center"/>
        </w:trPr>
        <w:tc>
          <w:tcPr>
            <w:tcW w:w="340" w:type="dxa"/>
            <w:gridSpan w:val="10"/>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2"/>
                <w:lang w:val="en-US" w:eastAsia="zh-CN"/>
              </w:rPr>
              <w:t>注：本表反映部门本年度政府性基金预算财政拨款收入、支出及结转和结余情况。</w:t>
            </w:r>
          </w:p>
        </w:tc>
      </w:tr>
    </w:tbl>
    <w:p>
      <w:pPr>
        <w:snapToGrid w:val="0"/>
        <w:spacing w:before="0" w:after="0" w:line="0" w:lineRule="auto"/>
        <w:jc w:val="both"/>
        <w:rPr>
          <w:lang w:val="en-US" w:eastAsia="zh-CN"/>
        </w:rPr>
      </w:pPr>
      <w:r>
        <w:rPr>
          <w:sz w:val="8"/>
          <w:lang w:val="en-US" w:eastAsia="zh-CN"/>
        </w:rPr>
        <w:t xml:space="preserve"> </w:t>
      </w:r>
    </w:p>
    <w:p>
      <w:pPr>
        <w:jc w:val="both"/>
        <w:rPr>
          <w:rFonts w:hint="eastAsia" w:ascii="黑体" w:hAnsi="仿宋" w:eastAsia="黑体"/>
          <w:sz w:val="32"/>
          <w:szCs w:val="32"/>
          <w:lang w:val="en-US" w:eastAsia="zh-CN"/>
        </w:rPr>
      </w:pPr>
      <w:r>
        <w:rPr/>
        <w:br w:type="page" w:clear="none"/>
      </w:r>
    </w:p>
    <w:p>
      <w:pPr>
        <w:pStyle w:val="3"/>
        <w:jc w:val="center"/>
        <w:outlineLvl w:val="9"/>
        <w:rPr>
          <w:rFonts w:ascii="黑体" w:hAnsi="仿宋" w:eastAsia="黑体"/>
          <w:sz w:val="32"/>
          <w:szCs w:val="32"/>
          <w:lang w:val="en-US" w:eastAsia="en-US"/>
        </w:rPr>
      </w:pPr>
      <w:r>
        <w:rPr>
          <w:rFonts w:hint="eastAsia" w:ascii="黑体" w:hAnsi="仿宋" w:eastAsia="黑体"/>
          <w:sz w:val="32"/>
          <w:szCs w:val="32"/>
          <w:lang w:val="en-US" w:eastAsia="en-US"/>
        </w:rPr>
        <w:t>国有资本经营预算财政拨款支出决算表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6699"/>
        <w:gridCol w:w="2000"/>
        <w:gridCol w:w="669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6699" w:type="dxa"/>
            <w:gridSpan w:val="3"/>
            <w:noWrap w:val="0"/>
            <w:vAlign w:val="top"/>
          </w:tcPr>
          <w:p>
            <w:pPr>
              <w:jc w:val="right"/>
              <w:rPr>
                <w:lang w:val="en-US" w:eastAsia="zh-CN"/>
              </w:rPr>
            </w:pPr>
            <w:r>
              <w:rPr>
                <w:rFonts w:ascii="宋体" w:hAnsi="宋体" w:eastAsia="宋体" w:cs="宋体"/>
                <w:sz w:val="20"/>
                <w:lang w:val="en-US" w:eastAsia="zh-CN"/>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6699" w:type="dxa"/>
            <w:tcBorders>
              <w:tl2br w:val="nil"/>
              <w:tr2bl w:val="nil"/>
            </w:tcBorders>
            <w:noWrap w:val="0"/>
            <w:vAlign w:val="top"/>
          </w:tcPr>
          <w:p>
            <w:pPr>
              <w:jc w:val="left"/>
              <w:rPr>
                <w:lang w:val="en-US" w:eastAsia="zh-CN"/>
              </w:rPr>
            </w:pPr>
            <w:r>
              <w:rPr>
                <w:rFonts w:ascii="宋体" w:hAnsi="宋体" w:eastAsia="宋体" w:cs="宋体"/>
                <w:sz w:val="20"/>
                <w:lang w:val="en-US" w:eastAsia="zh-CN"/>
              </w:rPr>
              <w:t>部门：宁夏回族自治区吴忠市利通区扁担沟镇人民政府</w:t>
            </w:r>
          </w:p>
        </w:tc>
        <w:tc>
          <w:tcPr>
            <w:tcW w:w="2000" w:type="dxa"/>
            <w:tcBorders>
              <w:tl2br w:val="nil"/>
              <w:tr2bl w:val="nil"/>
            </w:tcBorders>
            <w:noWrap w:val="0"/>
            <w:vAlign w:val="top"/>
          </w:tcPr>
          <w:p>
            <w:pPr>
              <w:jc w:val="center"/>
              <w:rPr>
                <w:lang w:val="en-US" w:eastAsia="zh-CN"/>
              </w:rPr>
            </w:pPr>
          </w:p>
        </w:tc>
        <w:tc>
          <w:tcPr>
            <w:tcW w:w="6699" w:type="dxa"/>
            <w:tcBorders>
              <w:tl2br w:val="nil"/>
              <w:tr2bl w:val="nil"/>
            </w:tcBorders>
            <w:noWrap w:val="0"/>
            <w:vAlign w:val="top"/>
          </w:tcPr>
          <w:p>
            <w:pPr>
              <w:jc w:val="right"/>
              <w:rPr>
                <w:lang w:val="en-US" w:eastAsia="zh-CN"/>
              </w:rPr>
            </w:pPr>
            <w:r>
              <w:rPr>
                <w:rFonts w:ascii="宋体" w:hAnsi="宋体" w:eastAsia="宋体" w:cs="宋体"/>
                <w:sz w:val="20"/>
                <w:lang w:val="en-US" w:eastAsia="zh-CN"/>
              </w:rPr>
              <w:t>单位：元</w:t>
            </w:r>
          </w:p>
        </w:tc>
      </w:tr>
    </w:tbl>
    <w:p>
      <w:pPr>
        <w:snapToGrid w:val="0"/>
        <w:spacing w:before="0" w:after="0" w:line="0" w:lineRule="auto"/>
        <w:jc w:val="both"/>
        <w:rPr>
          <w:lang w:val="en-US" w:eastAsia="zh-CN"/>
        </w:rPr>
      </w:pPr>
      <w:r>
        <w:rPr>
          <w:sz w:val="8"/>
          <w:lang w:val="en-US" w:eastAsia="zh-CN"/>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20"/>
        <w:gridCol w:w="520"/>
        <w:gridCol w:w="520"/>
        <w:gridCol w:w="6080"/>
        <w:gridCol w:w="2600"/>
        <w:gridCol w:w="2600"/>
        <w:gridCol w:w="25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gridSpan w:val="4"/>
            <w:noWrap w:val="0"/>
            <w:vAlign w:val="center"/>
          </w:tcPr>
          <w:p>
            <w:pPr>
              <w:jc w:val="center"/>
              <w:rPr>
                <w:lang w:val="en-US" w:eastAsia="zh-CN"/>
              </w:rPr>
            </w:pPr>
            <w:r>
              <w:rPr>
                <w:rFonts w:ascii="宋体" w:hAnsi="宋体" w:eastAsia="宋体" w:cs="宋体"/>
                <w:b w:val="0"/>
                <w:i w:val="0"/>
                <w:color w:val="000000"/>
                <w:sz w:val="28"/>
                <w:lang w:val="en-US" w:eastAsia="zh-CN"/>
              </w:rPr>
              <w:t>项目</w:t>
            </w:r>
          </w:p>
        </w:tc>
        <w:tc>
          <w:tcPr>
            <w:tcW w:w="2600" w:type="dxa"/>
            <w:gridSpan w:val="3"/>
            <w:noWrap w:val="0"/>
            <w:vAlign w:val="center"/>
          </w:tcPr>
          <w:p>
            <w:pPr>
              <w:jc w:val="center"/>
              <w:rPr>
                <w:lang w:val="en-US" w:eastAsia="zh-CN"/>
              </w:rPr>
            </w:pPr>
            <w:r>
              <w:rPr>
                <w:rFonts w:ascii="宋体" w:hAnsi="宋体" w:eastAsia="宋体" w:cs="宋体"/>
                <w:b w:val="0"/>
                <w:i w:val="0"/>
                <w:color w:val="000000"/>
                <w:sz w:val="28"/>
                <w:lang w:val="en-US" w:eastAsia="zh-CN"/>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gridSpan w:val="3"/>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功能分类科目代码</w:t>
            </w:r>
          </w:p>
        </w:tc>
        <w:tc>
          <w:tcPr>
            <w:tcW w:w="608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科目名称</w:t>
            </w:r>
          </w:p>
        </w:tc>
        <w:tc>
          <w:tcPr>
            <w:tcW w:w="26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合计</w:t>
            </w:r>
          </w:p>
        </w:tc>
        <w:tc>
          <w:tcPr>
            <w:tcW w:w="260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基本支出</w:t>
            </w:r>
          </w:p>
        </w:tc>
        <w:tc>
          <w:tcPr>
            <w:tcW w:w="2558"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gridSpan w:val="3"/>
            <w:vMerge w:val="continue"/>
            <w:tcBorders>
              <w:tl2br w:val="nil"/>
              <w:tr2bl w:val="nil"/>
            </w:tcBorders>
            <w:noWrap w:val="0"/>
            <w:vAlign w:val="center"/>
          </w:tcPr>
          <w:p>
            <w:pPr>
              <w:jc w:val="both"/>
              <w:rPr>
                <w:lang w:val="en-US" w:eastAsia="zh-CN"/>
              </w:rPr>
            </w:pPr>
          </w:p>
        </w:tc>
        <w:tc>
          <w:tcPr>
            <w:tcW w:w="6080" w:type="dxa"/>
            <w:vMerge w:val="continue"/>
            <w:tcBorders>
              <w:tl2br w:val="nil"/>
              <w:tr2bl w:val="nil"/>
            </w:tcBorders>
            <w:noWrap w:val="0"/>
            <w:vAlign w:val="center"/>
          </w:tcPr>
          <w:p>
            <w:pPr>
              <w:jc w:val="both"/>
              <w:rPr>
                <w:lang w:val="en-US" w:eastAsia="zh-CN"/>
              </w:rPr>
            </w:pPr>
          </w:p>
        </w:tc>
        <w:tc>
          <w:tcPr>
            <w:tcW w:w="2600" w:type="dxa"/>
            <w:vMerge w:val="continue"/>
            <w:tcBorders>
              <w:tl2br w:val="nil"/>
              <w:tr2bl w:val="nil"/>
            </w:tcBorders>
            <w:noWrap w:val="0"/>
            <w:vAlign w:val="center"/>
          </w:tcPr>
          <w:p>
            <w:pPr>
              <w:jc w:val="both"/>
              <w:rPr>
                <w:lang w:val="en-US" w:eastAsia="zh-CN"/>
              </w:rPr>
            </w:pPr>
          </w:p>
        </w:tc>
        <w:tc>
          <w:tcPr>
            <w:tcW w:w="2600" w:type="dxa"/>
            <w:vMerge w:val="continue"/>
            <w:tcBorders>
              <w:tl2br w:val="nil"/>
              <w:tr2bl w:val="nil"/>
            </w:tcBorders>
            <w:noWrap w:val="0"/>
            <w:vAlign w:val="center"/>
          </w:tcPr>
          <w:p>
            <w:pPr>
              <w:jc w:val="both"/>
              <w:rPr>
                <w:lang w:val="en-US" w:eastAsia="zh-CN"/>
              </w:rPr>
            </w:pPr>
          </w:p>
        </w:tc>
        <w:tc>
          <w:tcPr>
            <w:tcW w:w="255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96" w:hRule="exact"/>
          <w:jc w:val="center"/>
        </w:trPr>
        <w:tc>
          <w:tcPr>
            <w:tcW w:w="520" w:type="dxa"/>
            <w:gridSpan w:val="3"/>
            <w:vMerge w:val="continue"/>
            <w:tcBorders>
              <w:tl2br w:val="nil"/>
              <w:tr2bl w:val="nil"/>
            </w:tcBorders>
            <w:noWrap w:val="0"/>
            <w:vAlign w:val="center"/>
          </w:tcPr>
          <w:p>
            <w:pPr>
              <w:jc w:val="both"/>
              <w:rPr>
                <w:lang w:val="en-US" w:eastAsia="zh-CN"/>
              </w:rPr>
            </w:pPr>
          </w:p>
        </w:tc>
        <w:tc>
          <w:tcPr>
            <w:tcW w:w="6080" w:type="dxa"/>
            <w:vMerge w:val="continue"/>
            <w:tcBorders>
              <w:tl2br w:val="nil"/>
              <w:tr2bl w:val="nil"/>
            </w:tcBorders>
            <w:noWrap w:val="0"/>
            <w:vAlign w:val="center"/>
          </w:tcPr>
          <w:p>
            <w:pPr>
              <w:jc w:val="both"/>
              <w:rPr>
                <w:lang w:val="en-US" w:eastAsia="zh-CN"/>
              </w:rPr>
            </w:pPr>
          </w:p>
        </w:tc>
        <w:tc>
          <w:tcPr>
            <w:tcW w:w="2600" w:type="dxa"/>
            <w:vMerge w:val="continue"/>
            <w:tcBorders>
              <w:tl2br w:val="nil"/>
              <w:tr2bl w:val="nil"/>
            </w:tcBorders>
            <w:noWrap w:val="0"/>
            <w:vAlign w:val="center"/>
          </w:tcPr>
          <w:p>
            <w:pPr>
              <w:jc w:val="both"/>
              <w:rPr>
                <w:lang w:val="en-US" w:eastAsia="zh-CN"/>
              </w:rPr>
            </w:pPr>
          </w:p>
        </w:tc>
        <w:tc>
          <w:tcPr>
            <w:tcW w:w="2600" w:type="dxa"/>
            <w:vMerge w:val="continue"/>
            <w:tcBorders>
              <w:tl2br w:val="nil"/>
              <w:tr2bl w:val="nil"/>
            </w:tcBorders>
            <w:noWrap w:val="0"/>
            <w:vAlign w:val="center"/>
          </w:tcPr>
          <w:p>
            <w:pPr>
              <w:jc w:val="both"/>
              <w:rPr>
                <w:lang w:val="en-US" w:eastAsia="zh-CN"/>
              </w:rPr>
            </w:pPr>
          </w:p>
        </w:tc>
        <w:tc>
          <w:tcPr>
            <w:tcW w:w="2558" w:type="dxa"/>
            <w:vMerge w:val="continue"/>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类</w:t>
            </w:r>
          </w:p>
        </w:tc>
        <w:tc>
          <w:tcPr>
            <w:tcW w:w="5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款</w:t>
            </w:r>
          </w:p>
        </w:tc>
        <w:tc>
          <w:tcPr>
            <w:tcW w:w="520" w:type="dxa"/>
            <w:vMerge w:val="restart"/>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项</w:t>
            </w:r>
          </w:p>
        </w:tc>
        <w:tc>
          <w:tcPr>
            <w:tcW w:w="60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栏次</w:t>
            </w:r>
          </w:p>
        </w:tc>
        <w:tc>
          <w:tcPr>
            <w:tcW w:w="260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1</w:t>
            </w:r>
          </w:p>
        </w:tc>
        <w:tc>
          <w:tcPr>
            <w:tcW w:w="260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2</w:t>
            </w:r>
          </w:p>
        </w:tc>
        <w:tc>
          <w:tcPr>
            <w:tcW w:w="2558"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vMerge w:val="continue"/>
            <w:tcBorders>
              <w:tl2br w:val="nil"/>
              <w:tr2bl w:val="nil"/>
            </w:tcBorders>
            <w:noWrap w:val="0"/>
            <w:vAlign w:val="center"/>
          </w:tcPr>
          <w:p>
            <w:pPr>
              <w:jc w:val="both"/>
              <w:rPr>
                <w:lang w:val="en-US" w:eastAsia="zh-CN"/>
              </w:rPr>
            </w:pPr>
          </w:p>
        </w:tc>
        <w:tc>
          <w:tcPr>
            <w:tcW w:w="520" w:type="dxa"/>
            <w:vMerge w:val="continue"/>
            <w:tcBorders>
              <w:tl2br w:val="nil"/>
              <w:tr2bl w:val="nil"/>
            </w:tcBorders>
            <w:noWrap w:val="0"/>
            <w:vAlign w:val="center"/>
          </w:tcPr>
          <w:p>
            <w:pPr>
              <w:jc w:val="both"/>
              <w:rPr>
                <w:lang w:val="en-US" w:eastAsia="zh-CN"/>
              </w:rPr>
            </w:pPr>
          </w:p>
        </w:tc>
        <w:tc>
          <w:tcPr>
            <w:tcW w:w="520" w:type="dxa"/>
            <w:vMerge w:val="continue"/>
            <w:tcBorders>
              <w:tl2br w:val="nil"/>
              <w:tr2bl w:val="nil"/>
            </w:tcBorders>
            <w:noWrap w:val="0"/>
            <w:vAlign w:val="center"/>
          </w:tcPr>
          <w:p>
            <w:pPr>
              <w:jc w:val="both"/>
              <w:rPr>
                <w:lang w:val="en-US" w:eastAsia="zh-CN"/>
              </w:rPr>
            </w:pPr>
          </w:p>
        </w:tc>
        <w:tc>
          <w:tcPr>
            <w:tcW w:w="6080" w:type="dxa"/>
            <w:tcBorders>
              <w:tl2br w:val="nil"/>
              <w:tr2bl w:val="nil"/>
            </w:tcBorders>
            <w:noWrap w:val="0"/>
            <w:vAlign w:val="center"/>
          </w:tcPr>
          <w:p>
            <w:pPr>
              <w:jc w:val="center"/>
              <w:rPr>
                <w:lang w:val="en-US" w:eastAsia="zh-CN"/>
              </w:rPr>
            </w:pPr>
            <w:r>
              <w:rPr>
                <w:rFonts w:ascii="宋体" w:hAnsi="宋体" w:eastAsia="宋体" w:cs="宋体"/>
                <w:b w:val="0"/>
                <w:i w:val="0"/>
                <w:color w:val="000000"/>
                <w:sz w:val="28"/>
                <w:lang w:val="en-US" w:eastAsia="zh-CN"/>
              </w:rPr>
              <w:t>合计</w:t>
            </w:r>
          </w:p>
        </w:tc>
        <w:tc>
          <w:tcPr>
            <w:tcW w:w="2600" w:type="dxa"/>
            <w:tcBorders>
              <w:tl2br w:val="nil"/>
              <w:tr2bl w:val="nil"/>
            </w:tcBorders>
            <w:noWrap w:val="0"/>
            <w:vAlign w:val="center"/>
          </w:tcPr>
          <w:p>
            <w:pPr>
              <w:jc w:val="both"/>
              <w:rPr>
                <w:lang w:val="en-US" w:eastAsia="zh-CN"/>
              </w:rPr>
            </w:pPr>
          </w:p>
        </w:tc>
        <w:tc>
          <w:tcPr>
            <w:tcW w:w="2600" w:type="dxa"/>
            <w:tcBorders>
              <w:tl2br w:val="nil"/>
              <w:tr2bl w:val="nil"/>
            </w:tcBorders>
            <w:noWrap w:val="0"/>
            <w:vAlign w:val="center"/>
          </w:tcPr>
          <w:p>
            <w:pPr>
              <w:jc w:val="both"/>
              <w:rPr>
                <w:lang w:val="en-US" w:eastAsia="zh-CN"/>
              </w:rPr>
            </w:pPr>
          </w:p>
        </w:tc>
        <w:tc>
          <w:tcPr>
            <w:tcW w:w="255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96" w:hRule="exact"/>
          <w:jc w:val="center"/>
        </w:trPr>
        <w:tc>
          <w:tcPr>
            <w:tcW w:w="520" w:type="dxa"/>
            <w:gridSpan w:val="3"/>
            <w:tcBorders>
              <w:tl2br w:val="nil"/>
              <w:tr2bl w:val="nil"/>
            </w:tcBorders>
            <w:noWrap w:val="0"/>
            <w:vAlign w:val="center"/>
          </w:tcPr>
          <w:p>
            <w:pPr>
              <w:jc w:val="both"/>
              <w:rPr>
                <w:lang w:val="en-US" w:eastAsia="zh-CN"/>
              </w:rPr>
            </w:pPr>
          </w:p>
        </w:tc>
        <w:tc>
          <w:tcPr>
            <w:tcW w:w="6080" w:type="dxa"/>
            <w:tcBorders>
              <w:tl2br w:val="nil"/>
              <w:tr2bl w:val="nil"/>
            </w:tcBorders>
            <w:noWrap w:val="0"/>
            <w:vAlign w:val="center"/>
          </w:tcPr>
          <w:p>
            <w:pPr>
              <w:jc w:val="both"/>
              <w:rPr>
                <w:lang w:val="en-US" w:eastAsia="zh-CN"/>
              </w:rPr>
            </w:pPr>
          </w:p>
        </w:tc>
        <w:tc>
          <w:tcPr>
            <w:tcW w:w="2600" w:type="dxa"/>
            <w:tcBorders>
              <w:tl2br w:val="nil"/>
              <w:tr2bl w:val="nil"/>
            </w:tcBorders>
            <w:noWrap w:val="0"/>
            <w:vAlign w:val="center"/>
          </w:tcPr>
          <w:p>
            <w:pPr>
              <w:jc w:val="both"/>
              <w:rPr>
                <w:lang w:val="en-US" w:eastAsia="zh-CN"/>
              </w:rPr>
            </w:pPr>
          </w:p>
        </w:tc>
        <w:tc>
          <w:tcPr>
            <w:tcW w:w="2600" w:type="dxa"/>
            <w:tcBorders>
              <w:tl2br w:val="nil"/>
              <w:tr2bl w:val="nil"/>
            </w:tcBorders>
            <w:noWrap w:val="0"/>
            <w:vAlign w:val="center"/>
          </w:tcPr>
          <w:p>
            <w:pPr>
              <w:jc w:val="both"/>
              <w:rPr>
                <w:lang w:val="en-US" w:eastAsia="zh-CN"/>
              </w:rPr>
            </w:pPr>
          </w:p>
        </w:tc>
        <w:tc>
          <w:tcPr>
            <w:tcW w:w="2558" w:type="dxa"/>
            <w:tcBorders>
              <w:tl2br w:val="nil"/>
              <w:tr2bl w:val="nil"/>
            </w:tcBorders>
            <w:noWrap w:val="0"/>
            <w:vAlign w:val="center"/>
          </w:tcPr>
          <w:p>
            <w:pPr>
              <w:jc w:val="both"/>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96" w:hRule="exact"/>
          <w:jc w:val="center"/>
        </w:trPr>
        <w:tc>
          <w:tcPr>
            <w:tcW w:w="520" w:type="dxa"/>
            <w:gridSpan w:val="7"/>
            <w:tcBorders>
              <w:left w:val="single" w:color="FFFFFF" w:sz="4" w:space="0"/>
              <w:bottom w:val="single" w:color="FFFFFF" w:sz="4" w:space="0"/>
              <w:right w:val="single" w:color="FFFFFF" w:sz="4" w:space="0"/>
              <w:tl2br w:val="nil"/>
              <w:tr2bl w:val="nil"/>
            </w:tcBorders>
            <w:noWrap w:val="0"/>
            <w:vAlign w:val="center"/>
          </w:tcPr>
          <w:p>
            <w:pPr>
              <w:jc w:val="left"/>
              <w:rPr>
                <w:lang w:val="en-US" w:eastAsia="zh-CN"/>
              </w:rPr>
            </w:pPr>
            <w:r>
              <w:rPr>
                <w:rFonts w:ascii="宋体" w:hAnsi="宋体" w:eastAsia="宋体" w:cs="宋体"/>
                <w:b w:val="0"/>
                <w:i w:val="0"/>
                <w:color w:val="000000"/>
                <w:sz w:val="28"/>
                <w:lang w:val="en-US" w:eastAsia="zh-CN"/>
              </w:rPr>
              <w:t>注：本表反映部门本年度国有资本经营预算财政拨款支出情况。</w:t>
            </w:r>
          </w:p>
        </w:tc>
      </w:tr>
    </w:tbl>
    <w:p>
      <w:pPr>
        <w:snapToGrid w:val="0"/>
        <w:spacing w:before="0" w:after="0" w:line="0" w:lineRule="auto"/>
        <w:jc w:val="both"/>
        <w:rPr>
          <w:lang w:val="en-US" w:eastAsia="zh-CN"/>
        </w:rPr>
      </w:pPr>
      <w:r>
        <w:rPr>
          <w:sz w:val="8"/>
          <w:lang w:val="en-US" w:eastAsia="zh-CN"/>
        </w:rPr>
        <w:t xml:space="preserve"> </w:t>
      </w:r>
    </w:p>
    <w:p>
      <w:pPr>
        <w:spacing w:line="580" w:lineRule="exact"/>
        <w:jc w:val="both"/>
        <w:rPr>
          <w:rFonts w:hint="eastAsia"/>
          <w:lang w:val="en-US" w:eastAsia="zh-CN"/>
        </w:rPr>
        <w:sectPr>
          <w:footerReference r:id="rId5" w:type="default"/>
          <w:pgSz w:w="16838" w:h="11906" w:orient="landscape"/>
          <w:pgMar w:top="283" w:right="720" w:bottom="283" w:left="720" w:header="851" w:footer="992" w:gutter="0"/>
          <w:pgBorders>
            <w:top w:val="none" w:sz="0" w:space="0"/>
            <w:left w:val="none" w:sz="0" w:space="0"/>
            <w:bottom w:val="none" w:sz="0" w:space="0"/>
            <w:right w:val="none" w:sz="0" w:space="0"/>
          </w:pgBorders>
          <w:pgNumType w:fmt="decimal"/>
          <w:cols w:space="720" w:num="1"/>
          <w:rtlGutter w:val="0"/>
          <w:docGrid w:type="linesAndChars" w:linePitch="321" w:charSpace="0"/>
        </w:sectPr>
      </w:pPr>
    </w:p>
    <w:p>
      <w:pPr>
        <w:spacing w:before="156" w:beforeLines="50" w:line="580" w:lineRule="exact"/>
        <w:ind w:firstLine="176" w:firstLineChars="49"/>
        <w:jc w:val="center"/>
        <w:outlineLvl w:val="1"/>
        <w:rPr>
          <w:rFonts w:ascii="Times New Roman" w:hAnsi="Times New Roman" w:eastAsia="黑体" w:cs="Times New Roman"/>
          <w:b w:val="0"/>
          <w:kern w:val="0"/>
          <w:sz w:val="36"/>
          <w:szCs w:val="36"/>
          <w:lang w:val="en-US" w:eastAsia="zh-CN"/>
        </w:rPr>
      </w:pPr>
      <w:r>
        <w:rPr>
          <w:rFonts w:hint="eastAsia" w:ascii="Times New Roman" w:hAnsi="Times New Roman" w:eastAsia="黑体" w:cs="Times New Roman"/>
          <w:b w:val="0"/>
          <w:kern w:val="0"/>
          <w:sz w:val="36"/>
          <w:szCs w:val="36"/>
          <w:lang w:val="en-US" w:eastAsia="zh-CN"/>
        </w:rPr>
        <w:t>第三部分 2023年度部门决算情况说明</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楷体_GB2312" w:cs="Times New Roman"/>
          <w:b w:val="0"/>
          <w:kern w:val="0"/>
          <w:sz w:val="32"/>
          <w:szCs w:val="32"/>
          <w:lang w:val="en-US" w:eastAsia="zh-CN"/>
        </w:rPr>
      </w:pPr>
      <w:r>
        <w:rPr>
          <w:rFonts w:hint="eastAsia" w:ascii="Times New Roman" w:hAnsi="Times New Roman" w:eastAsia="楷体_GB2312" w:cs="Times New Roman"/>
          <w:b/>
          <w:bCs/>
          <w:kern w:val="0"/>
          <w:sz w:val="32"/>
          <w:szCs w:val="32"/>
          <w:lang w:val="en-US" w:eastAsia="zh-CN"/>
        </w:rPr>
        <w:t>一、收入支出决算总体情况说明</w:t>
      </w:r>
    </w:p>
    <w:p>
      <w:pPr>
        <w:spacing w:line="540" w:lineRule="exact"/>
        <w:ind w:firstLine="537" w:firstLineChars="168"/>
        <w:jc w:val="both"/>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2023年度收</w:t>
      </w:r>
      <w:r>
        <w:rPr>
          <w:rFonts w:hint="eastAsia" w:ascii="Times New Roman" w:hAnsi="Times New Roman" w:eastAsia="仿宋_GB2312" w:cs="Times New Roman"/>
          <w:kern w:val="0"/>
          <w:sz w:val="32"/>
          <w:szCs w:val="32"/>
          <w:lang w:val="en-US" w:eastAsia="zh-CN"/>
        </w:rPr>
        <w:t>入</w:t>
      </w:r>
      <w:r>
        <w:rPr>
          <w:rFonts w:ascii="Times New Roman" w:hAnsi="Times New Roman" w:eastAsia="仿宋_GB2312" w:cs="Times New Roman"/>
          <w:b/>
          <w:bCs/>
          <w:kern w:val="0"/>
          <w:sz w:val="32"/>
          <w:szCs w:val="32"/>
          <w:lang w:val="en-US" w:eastAsia="zh-CN"/>
        </w:rPr>
        <w:t>总计</w:t>
      </w:r>
      <w:r>
        <w:rPr>
          <w:rFonts w:hint="eastAsia" w:ascii="仿宋" w:hAnsi="仿宋" w:eastAsia="仿宋" w:cs="仿宋_GB2312"/>
          <w:sz w:val="32"/>
          <w:szCs w:val="32"/>
          <w:lang w:val="en-US" w:eastAsia="zh-CN"/>
        </w:rPr>
        <w:t>122192080.18</w:t>
      </w:r>
      <w:r>
        <w:rPr>
          <w:rFonts w:ascii="Times New Roman" w:hAnsi="Times New Roman" w:eastAsia="仿宋_GB2312" w:cs="Times New Roman"/>
          <w:kern w:val="0"/>
          <w:sz w:val="32"/>
          <w:szCs w:val="32"/>
          <w:lang w:val="en-US" w:eastAsia="zh-CN"/>
        </w:rPr>
        <w:t>元</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lang w:val="en-US" w:eastAsia="zh-CN"/>
        </w:rPr>
        <w:t>支</w:t>
      </w:r>
      <w:r>
        <w:rPr>
          <w:rFonts w:hint="eastAsia" w:ascii="Times New Roman" w:hAnsi="Times New Roman" w:eastAsia="仿宋_GB2312" w:cs="Times New Roman"/>
          <w:kern w:val="0"/>
          <w:sz w:val="32"/>
          <w:szCs w:val="32"/>
          <w:lang w:val="en-US" w:eastAsia="zh-CN"/>
        </w:rPr>
        <w:t>出</w:t>
      </w:r>
      <w:r>
        <w:rPr>
          <w:rFonts w:ascii="Times New Roman" w:hAnsi="Times New Roman" w:eastAsia="仿宋_GB2312" w:cs="Times New Roman"/>
          <w:b/>
          <w:bCs/>
          <w:kern w:val="0"/>
          <w:sz w:val="32"/>
          <w:szCs w:val="32"/>
          <w:lang w:val="en-US" w:eastAsia="zh-CN"/>
        </w:rPr>
        <w:t>总计</w:t>
      </w:r>
      <w:r>
        <w:rPr>
          <w:rFonts w:hint="eastAsia" w:ascii="仿宋" w:hAnsi="仿宋" w:eastAsia="仿宋" w:cs="仿宋_GB2312"/>
          <w:sz w:val="32"/>
          <w:szCs w:val="32"/>
          <w:lang w:val="en-US" w:eastAsia="zh-CN"/>
        </w:rPr>
        <w:t>122192080.18</w:t>
      </w:r>
      <w:r>
        <w:rPr>
          <w:rFonts w:ascii="Times New Roman" w:hAnsi="Times New Roman" w:eastAsia="仿宋_GB2312" w:cs="Times New Roman"/>
          <w:kern w:val="0"/>
          <w:sz w:val="32"/>
          <w:szCs w:val="32"/>
          <w:lang w:val="en-US" w:eastAsia="zh-CN"/>
        </w:rPr>
        <w:t>。与2022年度相比，收</w:t>
      </w:r>
      <w:r>
        <w:rPr>
          <w:rFonts w:hint="eastAsia" w:ascii="Times New Roman" w:hAnsi="Times New Roman" w:eastAsia="仿宋_GB2312" w:cs="Times New Roman"/>
          <w:kern w:val="0"/>
          <w:sz w:val="32"/>
          <w:szCs w:val="32"/>
          <w:lang w:val="en-US" w:eastAsia="zh-CN"/>
        </w:rPr>
        <w:t>入</w:t>
      </w:r>
      <w:r>
        <w:rPr>
          <w:rFonts w:ascii="Times New Roman" w:hAnsi="Times New Roman" w:eastAsia="仿宋_GB2312" w:cs="Times New Roman"/>
          <w:kern w:val="0"/>
          <w:sz w:val="32"/>
          <w:szCs w:val="32"/>
          <w:lang w:val="en-US" w:eastAsia="zh-CN"/>
        </w:rPr>
        <w:t>支</w:t>
      </w:r>
      <w:r>
        <w:rPr>
          <w:rFonts w:hint="eastAsia" w:ascii="Times New Roman" w:hAnsi="Times New Roman" w:eastAsia="仿宋_GB2312" w:cs="Times New Roman"/>
          <w:kern w:val="0"/>
          <w:sz w:val="32"/>
          <w:szCs w:val="32"/>
          <w:lang w:val="en-US" w:eastAsia="zh-CN"/>
        </w:rPr>
        <w:t>出</w:t>
      </w:r>
      <w:r>
        <w:rPr>
          <w:rFonts w:ascii="Times New Roman" w:hAnsi="Times New Roman" w:eastAsia="仿宋_GB2312" w:cs="Times New Roman"/>
          <w:b/>
          <w:bCs/>
          <w:kern w:val="0"/>
          <w:sz w:val="32"/>
          <w:szCs w:val="32"/>
          <w:lang w:val="en-US" w:eastAsia="zh-CN"/>
        </w:rPr>
        <w:t>总计</w:t>
      </w:r>
      <w:r>
        <w:rPr>
          <w:rFonts w:ascii="Times New Roman" w:hAnsi="Times New Roman" w:eastAsia="仿宋_GB2312" w:cs="Times New Roman"/>
          <w:kern w:val="0"/>
          <w:sz w:val="32"/>
          <w:szCs w:val="32"/>
          <w:lang w:val="en-US" w:eastAsia="zh-CN"/>
        </w:rPr>
        <w:t>各</w:t>
      </w:r>
      <w:r>
        <w:rPr>
          <w:rFonts w:hint="eastAsia" w:ascii="仿宋" w:hAnsi="仿宋" w:eastAsia="仿宋" w:cs="仿宋_GB2312"/>
          <w:sz w:val="32"/>
          <w:szCs w:val="32"/>
          <w:lang w:val="en-US" w:eastAsia="zh-CN"/>
        </w:rPr>
        <w:t>增加5993005.75元，增长5.16%。</w:t>
      </w:r>
      <w:r>
        <w:rPr>
          <w:rFonts w:ascii="Times New Roman" w:hAnsi="Times New Roman" w:eastAsia="仿宋_GB2312" w:cs="Times New Roman"/>
          <w:kern w:val="0"/>
          <w:sz w:val="32"/>
          <w:szCs w:val="32"/>
          <w:lang w:val="en-US" w:eastAsia="zh-CN"/>
        </w:rPr>
        <w:t>主要原因是</w:t>
      </w:r>
      <w:r>
        <w:rPr>
          <w:rFonts w:hint="eastAsia" w:ascii="仿宋" w:hAnsi="仿宋" w:eastAsia="仿宋" w:cs="仿宋_GB2312"/>
          <w:sz w:val="32"/>
          <w:szCs w:val="32"/>
          <w:lang w:val="en-US" w:eastAsia="zh-CN"/>
        </w:rPr>
        <w:t>我镇清洁能源及建筑能效提升</w:t>
      </w:r>
      <w:r>
        <w:rPr>
          <w:rFonts w:hint="eastAsia" w:ascii="仿宋" w:hAnsi="仿宋" w:eastAsia="仿宋" w:cs="仿宋_GB2312"/>
          <w:color w:val="000000"/>
          <w:sz w:val="32"/>
          <w:szCs w:val="32"/>
          <w:lang w:val="en-US" w:eastAsia="zh-CN"/>
        </w:rPr>
        <w:t>项目</w:t>
      </w:r>
      <w:r>
        <w:rPr>
          <w:rFonts w:hint="eastAsia" w:ascii="仿宋" w:hAnsi="仿宋" w:eastAsia="仿宋" w:cs="仿宋_GB2312"/>
          <w:sz w:val="32"/>
          <w:szCs w:val="32"/>
          <w:lang w:val="en-US" w:eastAsia="zh-CN"/>
        </w:rPr>
        <w:t>较上年有所增加，因此财政拨款增加。</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黑体" w:cs="Times New Roman"/>
          <w:b w:val="0"/>
          <w:kern w:val="0"/>
          <w:sz w:val="32"/>
          <w:szCs w:val="32"/>
          <w:lang w:val="en-US" w:eastAsia="zh-CN"/>
        </w:rPr>
      </w:pPr>
      <w:r>
        <w:rPr>
          <w:rFonts w:hint="eastAsia" w:ascii="Times New Roman" w:hAnsi="Times New Roman" w:eastAsia="楷体_GB2312" w:cs="Times New Roman"/>
          <w:b/>
          <w:bCs/>
          <w:kern w:val="0"/>
          <w:sz w:val="32"/>
          <w:szCs w:val="32"/>
          <w:lang w:val="en-US" w:eastAsia="zh-CN"/>
        </w:rPr>
        <w:t>二、收入决算情况说明</w:t>
      </w:r>
    </w:p>
    <w:p>
      <w:pPr>
        <w:pStyle w:val="11"/>
        <w:spacing w:line="540" w:lineRule="exact"/>
        <w:ind w:firstLine="745" w:firstLineChars="233"/>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kern w:val="0"/>
          <w:sz w:val="32"/>
          <w:szCs w:val="32"/>
          <w:lang w:val="en-US" w:eastAsia="zh-CN"/>
        </w:rPr>
        <w:t>2023年度</w:t>
      </w:r>
      <w:r>
        <w:rPr>
          <w:rFonts w:ascii="Times New Roman" w:hAnsi="Times New Roman" w:eastAsia="仿宋_GB2312" w:cs="Times New Roman"/>
          <w:color w:val="auto"/>
          <w:sz w:val="32"/>
          <w:szCs w:val="32"/>
          <w:lang w:val="en-US" w:eastAsia="zh-CN"/>
        </w:rPr>
        <w:t>收入合计</w:t>
      </w:r>
      <w:r>
        <w:rPr>
          <w:rFonts w:hint="eastAsia" w:ascii="仿宋" w:hAnsi="仿宋" w:eastAsia="仿宋" w:cs="仿宋_GB2312"/>
          <w:sz w:val="32"/>
          <w:szCs w:val="32"/>
          <w:lang w:val="en-US" w:eastAsia="zh-CN"/>
        </w:rPr>
        <w:t>110769802.91</w:t>
      </w:r>
      <w:r>
        <w:rPr>
          <w:rFonts w:ascii="Times New Roman" w:hAnsi="Times New Roman" w:eastAsia="仿宋_GB2312" w:cs="Times New Roman"/>
          <w:color w:val="auto"/>
          <w:sz w:val="32"/>
          <w:szCs w:val="32"/>
          <w:lang w:val="en-US" w:eastAsia="zh-CN"/>
        </w:rPr>
        <w:t>元</w:t>
      </w:r>
      <w:r>
        <w:rPr>
          <w:rFonts w:hint="eastAsia" w:ascii="Times New Roman" w:hAnsi="Times New Roman" w:eastAsia="仿宋_GB2312" w:cs="Times New Roman"/>
          <w:color w:val="auto"/>
          <w:sz w:val="32"/>
          <w:szCs w:val="32"/>
          <w:lang w:val="en-US" w:eastAsia="zh-CN"/>
        </w:rPr>
        <w:t>。</w:t>
      </w:r>
      <w:r>
        <w:rPr>
          <w:rFonts w:ascii="Times New Roman" w:hAnsi="Times New Roman" w:eastAsia="仿宋_GB2312" w:cs="Times New Roman"/>
          <w:color w:val="auto"/>
          <w:sz w:val="32"/>
          <w:szCs w:val="32"/>
          <w:lang w:val="en-US" w:eastAsia="zh-CN"/>
        </w:rPr>
        <w:t>其中：财政拨款收入</w:t>
      </w:r>
      <w:r>
        <w:rPr>
          <w:rFonts w:hint="eastAsia" w:ascii="仿宋" w:hAnsi="仿宋" w:eastAsia="仿宋" w:cs="仿宋_GB2312"/>
          <w:sz w:val="32"/>
          <w:szCs w:val="32"/>
          <w:lang w:val="en-US" w:eastAsia="zh-CN"/>
        </w:rPr>
        <w:t>96324073.15</w:t>
      </w:r>
      <w:r>
        <w:rPr>
          <w:rFonts w:ascii="Times New Roman" w:hAnsi="Times New Roman" w:eastAsia="仿宋_GB2312" w:cs="Times New Roman"/>
          <w:color w:val="auto"/>
          <w:sz w:val="32"/>
          <w:szCs w:val="32"/>
          <w:lang w:val="en-US" w:eastAsia="zh-CN"/>
        </w:rPr>
        <w:t>元，占</w:t>
      </w:r>
      <w:r>
        <w:rPr>
          <w:rFonts w:hint="eastAsia" w:ascii="仿宋" w:hAnsi="仿宋" w:eastAsia="仿宋" w:cs="仿宋_GB2312"/>
          <w:sz w:val="32"/>
          <w:szCs w:val="32"/>
          <w:lang w:val="en-US" w:eastAsia="zh-CN"/>
        </w:rPr>
        <w:t>86.96</w:t>
      </w:r>
      <w:r>
        <w:rPr>
          <w:rFonts w:ascii="Times New Roman" w:hAnsi="Times New Roman" w:eastAsia="仿宋_GB2312" w:cs="Times New Roman"/>
          <w:color w:val="auto"/>
          <w:sz w:val="32"/>
          <w:szCs w:val="32"/>
          <w:lang w:val="en-US" w:eastAsia="zh-CN"/>
        </w:rPr>
        <w:t>%；其他收入</w:t>
      </w:r>
      <w:r>
        <w:rPr>
          <w:rFonts w:hint="eastAsia" w:ascii="仿宋" w:hAnsi="仿宋" w:eastAsia="仿宋" w:cs="仿宋_GB2312"/>
          <w:sz w:val="32"/>
          <w:szCs w:val="32"/>
          <w:lang w:val="en-US" w:eastAsia="zh-CN"/>
        </w:rPr>
        <w:t>14445729.76</w:t>
      </w:r>
      <w:r>
        <w:rPr>
          <w:rFonts w:ascii="Times New Roman" w:hAnsi="Times New Roman" w:eastAsia="仿宋_GB2312" w:cs="Times New Roman"/>
          <w:color w:val="auto"/>
          <w:sz w:val="32"/>
          <w:szCs w:val="32"/>
          <w:lang w:val="en-US" w:eastAsia="zh-CN"/>
        </w:rPr>
        <w:t>元，占</w:t>
      </w:r>
      <w:r>
        <w:rPr>
          <w:rFonts w:hint="eastAsia" w:ascii="仿宋" w:hAnsi="仿宋" w:eastAsia="仿宋" w:cs="仿宋_GB2312"/>
          <w:sz w:val="32"/>
          <w:szCs w:val="32"/>
          <w:lang w:val="en-US" w:eastAsia="zh-CN"/>
        </w:rPr>
        <w:t>13.04</w:t>
      </w:r>
      <w:r>
        <w:rPr>
          <w:rFonts w:ascii="Times New Roman" w:hAnsi="Times New Roman" w:eastAsia="仿宋_GB2312" w:cs="Times New Roman"/>
          <w:color w:val="auto"/>
          <w:sz w:val="32"/>
          <w:szCs w:val="32"/>
          <w:lang w:val="en-US" w:eastAsia="zh-CN"/>
        </w:rPr>
        <w:t>%。</w:t>
      </w:r>
    </w:p>
    <w:p>
      <w:pPr>
        <w:pStyle w:val="11"/>
        <w:spacing w:line="540" w:lineRule="exact"/>
        <w:ind w:firstLine="629" w:firstLineChars="196"/>
        <w:outlineLvl w:val="1"/>
        <w:rPr>
          <w:rFonts w:ascii="Times New Roman" w:hAnsi="Times New Roman" w:eastAsia="楷体_GB2312" w:cs="Times New Roman"/>
          <w:b/>
          <w:bCs/>
          <w:color w:val="000000"/>
          <w:sz w:val="32"/>
          <w:szCs w:val="32"/>
          <w:lang w:val="en-US" w:eastAsia="zh-CN"/>
        </w:rPr>
      </w:pPr>
      <w:r>
        <w:rPr>
          <w:rFonts w:hint="eastAsia" w:ascii="Times New Roman" w:hAnsi="Times New Roman" w:eastAsia="楷体_GB2312" w:cs="Times New Roman"/>
          <w:b/>
          <w:bCs/>
          <w:kern w:val="0"/>
          <w:sz w:val="32"/>
          <w:szCs w:val="32"/>
          <w:lang w:val="en-US" w:eastAsia="zh-CN"/>
        </w:rPr>
        <w:t>三、支出决算情况说明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2023年度支出合计</w:t>
      </w:r>
      <w:r>
        <w:rPr>
          <w:rFonts w:hint="eastAsia" w:ascii="仿宋" w:hAnsi="仿宋" w:eastAsia="仿宋" w:cs="仿宋_GB2312"/>
          <w:sz w:val="32"/>
          <w:szCs w:val="32"/>
          <w:lang w:val="en-US" w:eastAsia="zh-CN"/>
        </w:rPr>
        <w:t>113062730.96</w:t>
      </w:r>
      <w:r>
        <w:rPr>
          <w:rFonts w:ascii="Times New Roman" w:hAnsi="Times New Roman" w:eastAsia="仿宋_GB2312" w:cs="Times New Roman"/>
          <w:kern w:val="0"/>
          <w:sz w:val="32"/>
          <w:szCs w:val="32"/>
          <w:lang w:val="en-US" w:eastAsia="zh-CN"/>
        </w:rPr>
        <w:t>元，其中：基本支出</w:t>
      </w:r>
      <w:r>
        <w:rPr>
          <w:rFonts w:hint="eastAsia" w:ascii="仿宋" w:hAnsi="仿宋" w:eastAsia="仿宋" w:cs="仿宋_GB2312"/>
          <w:sz w:val="32"/>
          <w:szCs w:val="32"/>
          <w:lang w:val="en-US" w:eastAsia="zh-CN"/>
        </w:rPr>
        <w:t>12015971.50</w:t>
      </w:r>
      <w:r>
        <w:rPr>
          <w:rFonts w:ascii="Times New Roman" w:hAnsi="Times New Roman" w:eastAsia="仿宋_GB2312" w:cs="Times New Roman"/>
          <w:kern w:val="0"/>
          <w:sz w:val="32"/>
          <w:szCs w:val="32"/>
          <w:lang w:val="en-US" w:eastAsia="zh-CN"/>
        </w:rPr>
        <w:t>元，占</w:t>
      </w:r>
      <w:r>
        <w:rPr>
          <w:rFonts w:hint="eastAsia" w:ascii="仿宋" w:hAnsi="仿宋" w:eastAsia="仿宋" w:cs="仿宋_GB2312"/>
          <w:sz w:val="32"/>
          <w:szCs w:val="32"/>
          <w:lang w:val="en-US" w:eastAsia="zh-CN"/>
        </w:rPr>
        <w:t>10.63</w:t>
      </w:r>
      <w:r>
        <w:rPr>
          <w:rFonts w:ascii="Times New Roman" w:hAnsi="Times New Roman" w:eastAsia="仿宋_GB2312" w:cs="Times New Roman"/>
          <w:kern w:val="0"/>
          <w:sz w:val="32"/>
          <w:szCs w:val="32"/>
          <w:lang w:val="en-US" w:eastAsia="zh-CN"/>
        </w:rPr>
        <w:t>%；项目支出</w:t>
      </w:r>
      <w:r>
        <w:rPr>
          <w:rFonts w:hint="eastAsia" w:ascii="仿宋" w:hAnsi="仿宋" w:eastAsia="仿宋" w:cs="仿宋_GB2312"/>
          <w:sz w:val="32"/>
          <w:szCs w:val="32"/>
          <w:lang w:val="en-US" w:eastAsia="zh-CN"/>
        </w:rPr>
        <w:t>101046759.46</w:t>
      </w:r>
      <w:r>
        <w:rPr>
          <w:rFonts w:ascii="Times New Roman" w:hAnsi="Times New Roman" w:eastAsia="仿宋_GB2312" w:cs="Times New Roman"/>
          <w:kern w:val="0"/>
          <w:sz w:val="32"/>
          <w:szCs w:val="32"/>
          <w:lang w:val="en-US" w:eastAsia="zh-CN"/>
        </w:rPr>
        <w:t>元，占</w:t>
      </w:r>
      <w:r>
        <w:rPr>
          <w:rFonts w:hint="eastAsia" w:ascii="仿宋" w:hAnsi="仿宋" w:eastAsia="仿宋" w:cs="仿宋_GB2312"/>
          <w:sz w:val="32"/>
          <w:szCs w:val="32"/>
          <w:lang w:val="en-US" w:eastAsia="zh-CN"/>
        </w:rPr>
        <w:t>89.37</w:t>
      </w:r>
      <w:r>
        <w:rPr>
          <w:rFonts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楷体_GB2312" w:cs="Times New Roman"/>
          <w:b/>
          <w:bCs/>
          <w:kern w:val="0"/>
          <w:sz w:val="32"/>
          <w:szCs w:val="32"/>
          <w:lang w:val="en-US" w:eastAsia="zh-CN"/>
        </w:rPr>
      </w:pPr>
      <w:r>
        <w:rPr>
          <w:rFonts w:hint="eastAsia" w:ascii="Times New Roman" w:hAnsi="Times New Roman" w:eastAsia="楷体_GB2312" w:cs="Times New Roman"/>
          <w:b/>
          <w:bCs/>
          <w:kern w:val="0"/>
          <w:sz w:val="32"/>
          <w:szCs w:val="32"/>
          <w:lang w:val="en-US" w:eastAsia="zh-CN"/>
        </w:rPr>
        <w:t>四、财政拨款收入支出决算总体情况说明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2023年度财政拨款收</w:t>
      </w:r>
      <w:r>
        <w:rPr>
          <w:rFonts w:hint="eastAsia" w:ascii="Times New Roman" w:hAnsi="Times New Roman" w:eastAsia="仿宋_GB2312" w:cs="Times New Roman"/>
          <w:kern w:val="0"/>
          <w:sz w:val="32"/>
          <w:szCs w:val="32"/>
          <w:lang w:val="en-US" w:eastAsia="zh-CN"/>
        </w:rPr>
        <w:t>入</w:t>
      </w:r>
      <w:r>
        <w:rPr>
          <w:rFonts w:ascii="Times New Roman" w:hAnsi="Times New Roman" w:eastAsia="仿宋_GB2312" w:cs="Times New Roman"/>
          <w:kern w:val="0"/>
          <w:sz w:val="32"/>
          <w:szCs w:val="32"/>
          <w:lang w:val="en-US" w:eastAsia="zh-CN"/>
        </w:rPr>
        <w:t>总计</w:t>
      </w:r>
      <w:r>
        <w:rPr>
          <w:rFonts w:hint="eastAsia" w:ascii="仿宋" w:hAnsi="仿宋" w:eastAsia="仿宋" w:cs="仿宋_GB2312"/>
          <w:sz w:val="32"/>
          <w:szCs w:val="32"/>
          <w:lang w:val="en-US" w:eastAsia="zh-CN"/>
        </w:rPr>
        <w:t>96324073.15</w:t>
      </w:r>
      <w:r>
        <w:rPr>
          <w:rFonts w:ascii="Times New Roman" w:hAnsi="Times New Roman" w:eastAsia="仿宋_GB2312" w:cs="Times New Roman"/>
          <w:kern w:val="0"/>
          <w:sz w:val="32"/>
          <w:szCs w:val="32"/>
          <w:lang w:val="en-US" w:eastAsia="zh-CN"/>
        </w:rPr>
        <w:t>元</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lang w:val="en-US" w:eastAsia="zh-CN"/>
        </w:rPr>
        <w:t>支</w:t>
      </w:r>
      <w:r>
        <w:rPr>
          <w:rFonts w:hint="eastAsia" w:ascii="Times New Roman" w:hAnsi="Times New Roman" w:eastAsia="仿宋_GB2312" w:cs="Times New Roman"/>
          <w:kern w:val="0"/>
          <w:sz w:val="32"/>
          <w:szCs w:val="32"/>
          <w:lang w:val="en-US" w:eastAsia="zh-CN"/>
        </w:rPr>
        <w:t>出</w:t>
      </w:r>
      <w:r>
        <w:rPr>
          <w:rFonts w:ascii="Times New Roman" w:hAnsi="Times New Roman" w:eastAsia="仿宋_GB2312" w:cs="Times New Roman"/>
          <w:kern w:val="0"/>
          <w:sz w:val="32"/>
          <w:szCs w:val="32"/>
          <w:lang w:val="en-US" w:eastAsia="zh-CN"/>
        </w:rPr>
        <w:t>总计</w:t>
      </w:r>
      <w:r>
        <w:rPr>
          <w:rFonts w:hint="eastAsia" w:ascii="仿宋" w:hAnsi="仿宋" w:eastAsia="仿宋" w:cs="仿宋_GB2312"/>
          <w:sz w:val="32"/>
          <w:szCs w:val="32"/>
          <w:lang w:val="en-US" w:eastAsia="zh-CN"/>
        </w:rPr>
        <w:t>96324073.15</w:t>
      </w:r>
      <w:r>
        <w:rPr>
          <w:rFonts w:ascii="Times New Roman" w:hAnsi="Times New Roman" w:eastAsia="仿宋_GB2312" w:cs="Times New Roman"/>
          <w:kern w:val="0"/>
          <w:sz w:val="32"/>
          <w:szCs w:val="32"/>
          <w:lang w:val="en-US" w:eastAsia="zh-CN"/>
        </w:rPr>
        <w:t>元。与2022年度相比，财政拨款收、支总计各</w:t>
      </w:r>
      <w:r>
        <w:rPr>
          <w:rFonts w:hint="eastAsia" w:ascii="仿宋" w:hAnsi="仿宋" w:eastAsia="仿宋" w:cs="仿宋_GB2312"/>
          <w:sz w:val="32"/>
          <w:szCs w:val="32"/>
          <w:lang w:val="en-US" w:eastAsia="zh-CN"/>
        </w:rPr>
        <w:t>增加24105100.04元，增长33.38%。</w:t>
      </w:r>
      <w:r>
        <w:rPr>
          <w:rFonts w:ascii="Times New Roman" w:hAnsi="Times New Roman" w:eastAsia="仿宋_GB2312" w:cs="Times New Roman"/>
          <w:kern w:val="0"/>
          <w:sz w:val="32"/>
          <w:szCs w:val="32"/>
          <w:lang w:val="en-US" w:eastAsia="zh-CN"/>
        </w:rPr>
        <w:t>主要原因是</w:t>
      </w:r>
      <w:r>
        <w:rPr>
          <w:rFonts w:hint="eastAsia" w:ascii="仿宋" w:hAnsi="仿宋" w:eastAsia="仿宋" w:cs="仿宋_GB2312"/>
          <w:sz w:val="32"/>
          <w:szCs w:val="32"/>
          <w:lang w:val="en-US" w:eastAsia="zh-CN"/>
        </w:rPr>
        <w:t>我镇项目较上年有所增加，因此财政拨款增加。</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楷体_GB2312" w:cs="Times New Roman"/>
          <w:b/>
          <w:bCs/>
          <w:kern w:val="0"/>
          <w:sz w:val="32"/>
          <w:szCs w:val="32"/>
          <w:lang w:val="en-US" w:eastAsia="zh-CN"/>
        </w:rPr>
      </w:pPr>
      <w:r>
        <w:rPr>
          <w:rFonts w:hint="eastAsia" w:ascii="Times New Roman" w:hAnsi="Times New Roman" w:eastAsia="楷体_GB2312" w:cs="Times New Roman"/>
          <w:b/>
          <w:bCs/>
          <w:kern w:val="0"/>
          <w:sz w:val="32"/>
          <w:szCs w:val="32"/>
          <w:lang w:val="en-US" w:eastAsia="zh-CN"/>
        </w:rPr>
        <w:t>五、一般公共预算财政拨款支出决算情况说明</w:t>
      </w:r>
    </w:p>
    <w:p>
      <w:pPr>
        <w:spacing w:line="540" w:lineRule="exact"/>
        <w:ind w:firstLine="642" w:firstLineChars="200"/>
        <w:jc w:val="both"/>
        <w:rPr>
          <w:rFonts w:ascii="Times New Roman" w:hAnsi="Times New Roman" w:eastAsia="仿宋_GB2312" w:cs="Times New Roman"/>
          <w:kern w:val="0"/>
          <w:sz w:val="32"/>
          <w:szCs w:val="32"/>
          <w:lang w:val="en-US" w:eastAsia="zh-CN"/>
        </w:rPr>
      </w:pPr>
      <w:r>
        <w:rPr>
          <w:rFonts w:ascii="Times New Roman" w:hAnsi="Times New Roman" w:eastAsia="仿宋_GB2312" w:cs="Times New Roman"/>
          <w:b/>
          <w:kern w:val="0"/>
          <w:sz w:val="32"/>
          <w:szCs w:val="32"/>
          <w:lang w:val="en-US" w:eastAsia="zh-CN"/>
        </w:rPr>
        <w:t>（一）</w:t>
      </w:r>
      <w:r>
        <w:rPr>
          <w:rFonts w:ascii="Times New Roman" w:hAnsi="Times New Roman" w:eastAsia="仿宋_GB2312" w:cs="Times New Roman"/>
          <w:b/>
          <w:bCs/>
          <w:kern w:val="0"/>
          <w:sz w:val="32"/>
          <w:szCs w:val="32"/>
          <w:lang w:val="en-US" w:eastAsia="zh-CN"/>
        </w:rPr>
        <w:t>一般公共预算财政拨款支出决算</w:t>
      </w:r>
      <w:r>
        <w:rPr>
          <w:rFonts w:ascii="Times New Roman" w:hAnsi="Times New Roman" w:eastAsia="仿宋_GB2312" w:cs="Times New Roman"/>
          <w:b/>
          <w:kern w:val="0"/>
          <w:sz w:val="32"/>
          <w:szCs w:val="32"/>
          <w:lang w:val="en-US" w:eastAsia="zh-CN"/>
        </w:rPr>
        <w:t>总体情况。</w:t>
      </w:r>
      <w:r>
        <w:rPr>
          <w:rFonts w:ascii="Times New Roman" w:hAnsi="Times New Roman" w:eastAsia="仿宋_GB2312" w:cs="Times New Roman"/>
          <w:kern w:val="0"/>
          <w:sz w:val="32"/>
          <w:szCs w:val="32"/>
          <w:lang w:val="en-US" w:eastAsia="zh-CN"/>
        </w:rPr>
        <w:t>2023年度</w:t>
      </w:r>
      <w:r>
        <w:rPr>
          <w:rFonts w:ascii="Times New Roman" w:hAnsi="Times New Roman" w:eastAsia="仿宋_GB2312" w:cs="Times New Roman"/>
          <w:b w:val="0"/>
          <w:kern w:val="0"/>
          <w:sz w:val="32"/>
          <w:szCs w:val="32"/>
          <w:lang w:val="en-US" w:eastAsia="zh-CN"/>
        </w:rPr>
        <w:t>一般公共预算</w:t>
      </w:r>
      <w:r>
        <w:rPr>
          <w:rFonts w:ascii="Times New Roman" w:hAnsi="Times New Roman" w:eastAsia="仿宋_GB2312" w:cs="Times New Roman"/>
          <w:kern w:val="0"/>
          <w:sz w:val="32"/>
          <w:szCs w:val="32"/>
          <w:lang w:val="en-US" w:eastAsia="zh-CN"/>
        </w:rPr>
        <w:t>财政拨款支出</w:t>
      </w:r>
      <w:r>
        <w:rPr>
          <w:rFonts w:hint="eastAsia" w:ascii="仿宋" w:hAnsi="仿宋" w:eastAsia="仿宋" w:cs="仿宋_GB2312"/>
          <w:sz w:val="32"/>
          <w:szCs w:val="32"/>
          <w:lang w:val="en-US" w:eastAsia="zh-CN"/>
        </w:rPr>
        <w:t>91286215.95</w:t>
      </w:r>
      <w:r>
        <w:rPr>
          <w:rFonts w:ascii="Times New Roman" w:hAnsi="Times New Roman" w:eastAsia="仿宋_GB2312" w:cs="Times New Roman"/>
          <w:kern w:val="0"/>
          <w:sz w:val="32"/>
          <w:szCs w:val="32"/>
          <w:lang w:val="en-US" w:eastAsia="zh-CN"/>
        </w:rPr>
        <w:t>元，占本年支出合计的</w:t>
      </w:r>
      <w:r>
        <w:rPr>
          <w:rFonts w:hint="eastAsia" w:ascii="仿宋" w:hAnsi="仿宋" w:eastAsia="仿宋" w:cs="仿宋_GB2312"/>
          <w:sz w:val="32"/>
          <w:szCs w:val="32"/>
          <w:lang w:val="en-US" w:eastAsia="zh-CN"/>
        </w:rPr>
        <w:t>80.74</w:t>
      </w:r>
      <w:r>
        <w:rPr>
          <w:rFonts w:ascii="Times New Roman" w:hAnsi="Times New Roman" w:eastAsia="仿宋_GB2312" w:cs="Times New Roman"/>
          <w:kern w:val="0"/>
          <w:sz w:val="32"/>
          <w:szCs w:val="32"/>
          <w:lang w:val="en-US" w:eastAsia="zh-CN"/>
        </w:rPr>
        <w:t>%。与2022年度相比，</w:t>
      </w:r>
      <w:r>
        <w:rPr>
          <w:rFonts w:ascii="Times New Roman" w:hAnsi="Times New Roman" w:eastAsia="仿宋_GB2312" w:cs="Times New Roman"/>
          <w:b w:val="0"/>
          <w:kern w:val="0"/>
          <w:sz w:val="32"/>
          <w:szCs w:val="32"/>
          <w:lang w:val="en-US" w:eastAsia="zh-CN"/>
        </w:rPr>
        <w:t>一般公共预算</w:t>
      </w:r>
      <w:r>
        <w:rPr>
          <w:rFonts w:ascii="Times New Roman" w:hAnsi="Times New Roman" w:eastAsia="仿宋_GB2312" w:cs="Times New Roman"/>
          <w:kern w:val="0"/>
          <w:sz w:val="32"/>
          <w:szCs w:val="32"/>
          <w:lang w:val="en-US" w:eastAsia="zh-CN"/>
        </w:rPr>
        <w:t>财政拨款支出</w:t>
      </w:r>
      <w:r>
        <w:rPr>
          <w:rFonts w:hint="eastAsia" w:ascii="仿宋" w:hAnsi="仿宋" w:eastAsia="仿宋" w:cs="仿宋_GB2312"/>
          <w:sz w:val="32"/>
          <w:szCs w:val="32"/>
          <w:lang w:val="en-US" w:eastAsia="zh-CN"/>
        </w:rPr>
        <w:t>增加25140186.84元，增长38.01%。</w:t>
      </w:r>
      <w:r>
        <w:rPr>
          <w:rFonts w:ascii="Times New Roman" w:hAnsi="Times New Roman" w:eastAsia="仿宋_GB2312" w:cs="Times New Roman"/>
          <w:kern w:val="0"/>
          <w:sz w:val="32"/>
          <w:szCs w:val="32"/>
          <w:lang w:val="en-US" w:eastAsia="zh-CN"/>
        </w:rPr>
        <w:t>主要原因是</w:t>
      </w:r>
      <w:r>
        <w:rPr>
          <w:rFonts w:hint="eastAsia" w:ascii="仿宋" w:hAnsi="仿宋" w:eastAsia="仿宋" w:cs="仿宋_GB2312"/>
          <w:sz w:val="32"/>
          <w:szCs w:val="32"/>
          <w:lang w:val="en-US" w:eastAsia="zh-CN"/>
        </w:rPr>
        <w:t>我镇2022年结余资金较多，于2023年集中支付。</w:t>
      </w:r>
    </w:p>
    <w:p>
      <w:pPr>
        <w:spacing w:line="540" w:lineRule="exact"/>
        <w:ind w:firstLine="655" w:firstLineChars="204"/>
        <w:jc w:val="both"/>
        <w:rPr>
          <w:rFonts w:ascii="Times New Roman" w:hAnsi="Times New Roman" w:eastAsia="仿宋_GB2312" w:cs="Times New Roman"/>
          <w:kern w:val="0"/>
          <w:sz w:val="32"/>
          <w:szCs w:val="32"/>
          <w:lang w:val="en-US" w:eastAsia="zh-CN"/>
        </w:rPr>
      </w:pPr>
      <w:r>
        <w:rPr>
          <w:rFonts w:ascii="Times New Roman" w:hAnsi="Times New Roman" w:eastAsia="仿宋_GB2312" w:cs="Times New Roman"/>
          <w:b/>
          <w:kern w:val="0"/>
          <w:sz w:val="32"/>
          <w:szCs w:val="32"/>
          <w:lang w:val="en-US" w:eastAsia="zh-CN"/>
        </w:rPr>
        <w:t>（二）</w:t>
      </w:r>
      <w:r>
        <w:rPr>
          <w:rFonts w:ascii="Times New Roman" w:hAnsi="Times New Roman" w:eastAsia="仿宋_GB2312" w:cs="Times New Roman"/>
          <w:b/>
          <w:bCs/>
          <w:kern w:val="0"/>
          <w:sz w:val="32"/>
          <w:szCs w:val="32"/>
          <w:lang w:val="en-US" w:eastAsia="zh-CN"/>
        </w:rPr>
        <w:t>一般公共预算财政拨款支出决算</w:t>
      </w:r>
      <w:r>
        <w:rPr>
          <w:rFonts w:ascii="Times New Roman" w:hAnsi="Times New Roman" w:eastAsia="仿宋_GB2312" w:cs="Times New Roman"/>
          <w:b/>
          <w:kern w:val="0"/>
          <w:sz w:val="32"/>
          <w:szCs w:val="32"/>
          <w:lang w:val="en-US" w:eastAsia="zh-CN"/>
        </w:rPr>
        <w:t>结构情况。</w:t>
      </w:r>
      <w:r>
        <w:rPr>
          <w:rFonts w:ascii="Times New Roman" w:hAnsi="Times New Roman" w:eastAsia="仿宋_GB2312" w:cs="Times New Roman"/>
          <w:kern w:val="0"/>
          <w:sz w:val="32"/>
          <w:szCs w:val="32"/>
          <w:lang w:val="en-US" w:eastAsia="zh-CN"/>
        </w:rPr>
        <w:t>2023年度</w:t>
      </w:r>
      <w:r>
        <w:rPr>
          <w:rFonts w:ascii="Times New Roman" w:hAnsi="Times New Roman" w:eastAsia="仿宋_GB2312" w:cs="Times New Roman"/>
          <w:b w:val="0"/>
          <w:kern w:val="0"/>
          <w:sz w:val="32"/>
          <w:szCs w:val="32"/>
          <w:lang w:val="en-US" w:eastAsia="zh-CN"/>
        </w:rPr>
        <w:t>一般公共预算</w:t>
      </w:r>
      <w:r>
        <w:rPr>
          <w:rFonts w:ascii="Times New Roman" w:hAnsi="Times New Roman" w:eastAsia="仿宋_GB2312" w:cs="Times New Roman"/>
          <w:kern w:val="0"/>
          <w:sz w:val="32"/>
          <w:szCs w:val="32"/>
          <w:lang w:val="en-US" w:eastAsia="zh-CN"/>
        </w:rPr>
        <w:t>财政拨款支出</w:t>
      </w:r>
      <w:r>
        <w:rPr>
          <w:rFonts w:hint="eastAsia" w:ascii="仿宋" w:hAnsi="仿宋" w:eastAsia="仿宋" w:cs="仿宋_GB2312"/>
          <w:sz w:val="32"/>
          <w:szCs w:val="32"/>
          <w:lang w:val="en-US" w:eastAsia="zh-CN"/>
        </w:rPr>
        <w:t>91286215.95</w:t>
      </w:r>
      <w:r>
        <w:rPr>
          <w:rFonts w:ascii="Times New Roman" w:hAnsi="Times New Roman" w:eastAsia="仿宋_GB2312" w:cs="Times New Roman"/>
          <w:kern w:val="0"/>
          <w:sz w:val="32"/>
          <w:szCs w:val="32"/>
          <w:lang w:val="en-US" w:eastAsia="zh-CN"/>
        </w:rPr>
        <w:t>元，主要用于以下方面：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ascii="Times New Roman" w:hAnsi="Times New Roman" w:eastAsia="仿宋_GB2312" w:cs="Times New Roman"/>
          <w:kern w:val="0"/>
          <w:sz w:val="32"/>
          <w:szCs w:val="32"/>
          <w:lang w:val="en-US" w:eastAsia="zh-CN"/>
        </w:rPr>
      </w:pPr>
      <w:r>
        <w:rPr>
          <w:rFonts w:hint="eastAsia" w:ascii="仿宋" w:hAnsi="仿宋" w:eastAsia="仿宋" w:cs="仿宋_GB2312"/>
          <w:sz w:val="32"/>
          <w:szCs w:val="32"/>
          <w:lang w:val="en-US" w:eastAsia="zh-CN"/>
        </w:rPr>
        <w:t>一般公共服务支出本年支出9233069.45元，占10.11%。公共安全支出本年支出60485.75元，占0.07%。教育支出本年支出300000.00元，占0.33%。社会保障和就业支出本年支出1869298.67元，占2.05%。卫生健康支出本年支出790902.42元，占0.87%。节能环保支出本年支出14829500.00元，占16.25%。城乡社区支出本年支出3615049.03元，占3.96%。农林水支出本年支出59197739.83元，占64.85%。住房保障支出本年支出1163570.80元，占1.27%。灾害防治及应急管理支出本年支出226600.00元，占0.25%。</w:t>
      </w:r>
    </w:p>
    <w:p>
      <w:pPr>
        <w:spacing w:line="540" w:lineRule="exact"/>
        <w:ind w:firstLine="613" w:firstLineChars="191"/>
        <w:jc w:val="both"/>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b/>
          <w:kern w:val="0"/>
          <w:sz w:val="32"/>
          <w:szCs w:val="32"/>
          <w:lang w:val="en-US" w:eastAsia="zh-CN"/>
        </w:rPr>
        <w:t>（三）</w:t>
      </w:r>
      <w:r>
        <w:rPr>
          <w:rFonts w:ascii="Times New Roman" w:hAnsi="Times New Roman" w:eastAsia="仿宋_GB2312" w:cs="Times New Roman"/>
          <w:b/>
          <w:bCs/>
          <w:kern w:val="0"/>
          <w:sz w:val="32"/>
          <w:szCs w:val="32"/>
          <w:lang w:val="en-US" w:eastAsia="zh-CN"/>
        </w:rPr>
        <w:t>一般公共预算财政拨款支出决算</w:t>
      </w:r>
      <w:r>
        <w:rPr>
          <w:rFonts w:ascii="Times New Roman" w:hAnsi="Times New Roman" w:eastAsia="仿宋_GB2312" w:cs="Times New Roman"/>
          <w:b/>
          <w:kern w:val="0"/>
          <w:sz w:val="32"/>
          <w:szCs w:val="32"/>
          <w:lang w:val="en-US" w:eastAsia="zh-CN"/>
        </w:rPr>
        <w:t>具体情况。</w:t>
      </w:r>
      <w:r>
        <w:rPr>
          <w:rFonts w:ascii="Times New Roman" w:hAnsi="Times New Roman" w:eastAsia="仿宋_GB2312" w:cs="Times New Roman"/>
          <w:kern w:val="0"/>
          <w:sz w:val="32"/>
          <w:szCs w:val="32"/>
          <w:lang w:val="en-US" w:eastAsia="zh-CN"/>
        </w:rPr>
        <w:t>2023年度</w:t>
      </w:r>
      <w:r>
        <w:rPr>
          <w:rFonts w:ascii="Times New Roman" w:hAnsi="Times New Roman" w:eastAsia="仿宋_GB2312" w:cs="Times New Roman"/>
          <w:b w:val="0"/>
          <w:kern w:val="0"/>
          <w:sz w:val="32"/>
          <w:szCs w:val="32"/>
          <w:lang w:val="en-US" w:eastAsia="zh-CN"/>
        </w:rPr>
        <w:t>一般公共预算</w:t>
      </w:r>
      <w:r>
        <w:rPr>
          <w:rFonts w:ascii="Times New Roman" w:hAnsi="Times New Roman" w:eastAsia="仿宋_GB2312" w:cs="Times New Roman"/>
          <w:kern w:val="0"/>
          <w:sz w:val="32"/>
          <w:szCs w:val="32"/>
          <w:lang w:val="en-US" w:eastAsia="zh-CN"/>
        </w:rPr>
        <w:t>财政拨款支出年初预算为</w:t>
      </w:r>
      <w:r>
        <w:rPr>
          <w:rFonts w:hint="eastAsia" w:ascii="仿宋" w:hAnsi="仿宋" w:eastAsia="仿宋" w:cs="仿宋_GB2312"/>
          <w:sz w:val="32"/>
          <w:szCs w:val="32"/>
          <w:lang w:val="en-US" w:eastAsia="zh-CN"/>
        </w:rPr>
        <w:t>22698068.37</w:t>
      </w:r>
      <w:r>
        <w:rPr>
          <w:rFonts w:ascii="Times New Roman" w:hAnsi="Times New Roman" w:eastAsia="仿宋_GB2312" w:cs="Times New Roman"/>
          <w:kern w:val="0"/>
          <w:sz w:val="32"/>
          <w:szCs w:val="32"/>
          <w:lang w:val="en-US" w:eastAsia="zh-CN"/>
        </w:rPr>
        <w:t>元，支出决算为</w:t>
      </w:r>
      <w:r>
        <w:rPr>
          <w:rFonts w:hint="eastAsia" w:ascii="仿宋" w:hAnsi="仿宋" w:eastAsia="仿宋" w:cs="仿宋_GB2312"/>
          <w:sz w:val="32"/>
          <w:szCs w:val="32"/>
          <w:lang w:val="en-US" w:eastAsia="zh-CN"/>
        </w:rPr>
        <w:t>91286215.95</w:t>
      </w:r>
      <w:r>
        <w:rPr>
          <w:rFonts w:ascii="Times New Roman" w:hAnsi="Times New Roman" w:eastAsia="仿宋_GB2312" w:cs="Times New Roman"/>
          <w:kern w:val="0"/>
          <w:sz w:val="32"/>
          <w:szCs w:val="32"/>
          <w:lang w:val="en-US" w:eastAsia="zh-CN"/>
        </w:rPr>
        <w:t>元，完成年初预算的</w:t>
      </w:r>
      <w:r>
        <w:rPr>
          <w:rFonts w:hint="eastAsia" w:ascii="仿宋" w:hAnsi="仿宋" w:eastAsia="仿宋" w:cs="仿宋_GB2312"/>
          <w:sz w:val="32"/>
          <w:szCs w:val="32"/>
          <w:lang w:val="en-US" w:eastAsia="zh-CN"/>
        </w:rPr>
        <w:t>402.18</w:t>
      </w:r>
      <w:r>
        <w:rPr>
          <w:rFonts w:ascii="Times New Roman" w:hAnsi="Times New Roman" w:eastAsia="仿宋_GB2312" w:cs="Times New Roman"/>
          <w:kern w:val="0"/>
          <w:sz w:val="32"/>
          <w:szCs w:val="32"/>
          <w:lang w:val="en-US" w:eastAsia="zh-CN"/>
        </w:rPr>
        <w:t>%。其中：</w:t>
      </w:r>
      <w:r>
        <w:rPr>
          <w:rFonts w:ascii="Times New Roman" w:hAnsi="Times New Roman" w:eastAsia="仿宋_GB2312"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642" w:firstLineChars="200"/>
        <w:jc w:val="both"/>
        <w:textAlignment w:val="auto"/>
        <w:rPr>
          <w:rFonts w:hint="eastAsia" w:ascii="仿宋" w:hAnsi="仿宋" w:eastAsia="仿宋" w:cs="仿宋_GB2312"/>
          <w:sz w:val="32"/>
          <w:szCs w:val="32"/>
          <w:lang w:val="en-US" w:eastAsia="zh-CN"/>
        </w:rPr>
      </w:pPr>
      <w:r>
        <w:rPr>
          <w:rFonts w:hint="eastAsia" w:ascii="Times New Roman" w:hAnsi="Times New Roman" w:eastAsia="仿宋_GB2312" w:cs="Times New Roman"/>
          <w:b/>
          <w:bCs/>
          <w:kern w:val="0"/>
          <w:sz w:val="32"/>
          <w:szCs w:val="32"/>
          <w:lang w:val="en-US" w:eastAsia="zh-CN"/>
        </w:rPr>
        <w:t>农林水支出（类）林业和草原（款）事业机构（项）</w:t>
      </w:r>
      <w:r>
        <w:rPr>
          <w:rFonts w:hint="eastAsia" w:ascii="Times New Roman" w:hAnsi="Times New Roman" w:eastAsia="仿宋_GB2312" w:cs="Times New Roman"/>
          <w:kern w:val="0"/>
          <w:sz w:val="32"/>
          <w:szCs w:val="32"/>
          <w:lang w:val="en-US" w:eastAsia="zh-CN"/>
        </w:rPr>
        <w:t>其他农村综合改革支出</w:t>
      </w:r>
      <w:r>
        <w:rPr>
          <w:rFonts w:hint="eastAsia" w:ascii="仿宋" w:hAnsi="仿宋" w:eastAsia="仿宋" w:cs="仿宋_GB2312"/>
          <w:color w:val="000000"/>
          <w:sz w:val="32"/>
          <w:szCs w:val="32"/>
          <w:lang w:val="en-US" w:eastAsia="zh-CN"/>
        </w:rPr>
        <w:t>年初预算</w:t>
      </w:r>
      <w:r>
        <w:rPr>
          <w:rFonts w:hint="eastAsia" w:ascii="仿宋" w:hAnsi="仿宋" w:eastAsia="仿宋" w:cs="仿宋_GB2312"/>
          <w:sz w:val="32"/>
          <w:szCs w:val="32"/>
          <w:lang w:val="en-US" w:eastAsia="zh-CN"/>
        </w:rPr>
        <w:t>为251800.00元，支出决算为102242.00元,完成年初预算的40.60%。决算数小于预算数的主要原因是：2023年良繁场工作经费未全额拨付至良繁场，于2024年拨付完成。</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ascii="Times New Roman" w:hAnsi="Times New Roman" w:eastAsia="仿宋_GB2312" w:cs="Times New Roman"/>
          <w:b/>
          <w:bCs/>
          <w:kern w:val="0"/>
          <w:sz w:val="32"/>
          <w:szCs w:val="32"/>
        </w:rPr>
        <w:t>农</w:t>
      </w:r>
      <w:r>
        <w:rPr>
          <w:rFonts w:hint="eastAsia" w:ascii="Times New Roman" w:hAnsi="Times New Roman" w:eastAsia="仿宋_GB2312" w:cs="Times New Roman"/>
          <w:b/>
          <w:bCs/>
          <w:kern w:val="0"/>
          <w:sz w:val="32"/>
          <w:szCs w:val="32"/>
          <w:lang w:val="en-US" w:eastAsia="zh-CN"/>
        </w:rPr>
        <w:t>林水支出（类）农村综合改革（款）对村民委员会和村党支部的补助（项）</w:t>
      </w:r>
      <w:r>
        <w:rPr>
          <w:rFonts w:hint="eastAsia" w:ascii="仿宋" w:hAnsi="仿宋" w:eastAsia="仿宋" w:cs="仿宋_GB2312"/>
          <w:sz w:val="32"/>
          <w:szCs w:val="32"/>
          <w:lang w:val="en-US" w:eastAsia="zh-CN"/>
        </w:rPr>
        <w:t>年初预算为8074300.00元，支出决算为5204048.25元,完成年初预算的64.45%。决算数小于预算数的主要原因是：2023年村干部绩效工资于2024年年初发放。</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一般公共服务（类）行政单位离退休支出（款）</w:t>
      </w:r>
      <w:r>
        <w:rPr>
          <w:rFonts w:hint="eastAsia" w:ascii="仿宋" w:hAnsi="仿宋" w:eastAsia="仿宋" w:cs="仿宋_GB2312"/>
          <w:sz w:val="32"/>
          <w:szCs w:val="32"/>
          <w:lang w:val="en-US" w:eastAsia="zh-CN"/>
        </w:rPr>
        <w:t>年初预算为63000.00元，支出决算为55908.00元,完成年初预算的88.74%。决算数小于预算数的主要原因是：2023年退休人员体检费于2024年支付完毕。</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一般公共服务（类）其他共产党事务支出（款）其他共产党事务支出</w:t>
      </w:r>
      <w:r>
        <w:rPr>
          <w:rFonts w:hint="eastAsia" w:ascii="仿宋" w:hAnsi="仿宋" w:eastAsia="仿宋" w:cs="仿宋_GB2312"/>
          <w:sz w:val="32"/>
          <w:szCs w:val="32"/>
          <w:lang w:val="en-US" w:eastAsia="zh-CN"/>
        </w:rPr>
        <w:t>年初预算为20000.00元，支出决算为2589.74元,完成年初预算的12.95%。决算数小于预算数的主要原因是：纪检、共青团妇联工作经费2023年项目较少。</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一般公共服务（类）其他人大事务支出（款）其他人大事务支出</w:t>
      </w:r>
      <w:r>
        <w:rPr>
          <w:rFonts w:hint="eastAsia" w:ascii="仿宋" w:hAnsi="仿宋" w:eastAsia="仿宋" w:cs="仿宋_GB2312"/>
          <w:sz w:val="32"/>
          <w:szCs w:val="32"/>
          <w:lang w:val="en-US" w:eastAsia="zh-CN"/>
        </w:rPr>
        <w:t>年初预算为32000.00元，支出决算为2100.00元,完成年初预算的6.56%。决算数小于预算数的主要原因是：2023年人大政协视察项目较少。</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一般公共服务（类）一般行政管理事务（款）一般行政管理事务支出</w:t>
      </w:r>
      <w:r>
        <w:rPr>
          <w:rFonts w:hint="eastAsia" w:ascii="仿宋" w:hAnsi="仿宋" w:eastAsia="仿宋" w:cs="仿宋_GB2312"/>
          <w:sz w:val="32"/>
          <w:szCs w:val="32"/>
          <w:lang w:val="en-US" w:eastAsia="zh-CN"/>
        </w:rPr>
        <w:t>年初预算为253200.00元，支出决算为251200.00元,完成年初预算的99.21%。决算数小于预算数的主要原因是：退役军人工资200800元，驻村书记补助2400元，综治经费下剩2000元未支付，于2024年支付。</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一般公共服务（类）一般行政管理事务（款）行政运行</w:t>
      </w:r>
      <w:r>
        <w:rPr>
          <w:rFonts w:hint="eastAsia" w:ascii="仿宋" w:hAnsi="仿宋" w:eastAsia="仿宋" w:cs="仿宋_GB2312"/>
          <w:sz w:val="32"/>
          <w:szCs w:val="32"/>
          <w:lang w:val="en-US" w:eastAsia="zh-CN"/>
        </w:rPr>
        <w:t>年初预算为10223831.80元，支出决算为8699179.71元,完成年初预算的85.09%。决算数小于预算数的主要原因是：2023年我镇办公经费缩减。</w:t>
      </w:r>
      <w:r>
        <w:rPr>
          <w:rFonts w:hint="eastAsia" w:ascii="仿宋" w:hAnsi="仿宋" w:eastAsia="仿宋" w:cs="仿宋_GB2312"/>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一般公共服务（类）一般行政管理事务（款）一般行政管理事务支出</w:t>
      </w:r>
      <w:r>
        <w:rPr>
          <w:rFonts w:hint="eastAsia" w:ascii="仿宋" w:hAnsi="仿宋" w:eastAsia="仿宋" w:cs="仿宋_GB2312"/>
          <w:sz w:val="32"/>
          <w:szCs w:val="32"/>
          <w:lang w:val="en-US" w:eastAsia="zh-CN"/>
        </w:rPr>
        <w:t>年初预算为260400.00元，支出决算为260171.24元,完成年初预算的99.91%。决算数小于预算数的主要原因是：下剩金额为2023年会计委托代理中心人员社保补差金额。</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9"/>
        <w:rPr>
          <w:rFonts w:ascii="Times New Roman" w:hAnsi="Times New Roman" w:eastAsia="楷体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农林水支出（类）水利（款）</w:t>
      </w:r>
      <w:r>
        <w:rPr>
          <w:rFonts w:hint="default" w:ascii="Times New Roman" w:hAnsi="Times New Roman" w:eastAsia="仿宋_GB2312" w:cs="Times New Roman"/>
          <w:b/>
          <w:bCs/>
          <w:kern w:val="0"/>
          <w:sz w:val="32"/>
          <w:szCs w:val="32"/>
          <w:lang w:val="en-US" w:eastAsia="zh-CN"/>
        </w:rPr>
        <w:t>其他水利支出</w:t>
      </w:r>
      <w:r>
        <w:rPr>
          <w:rFonts w:hint="eastAsia" w:ascii="Times New Roman" w:hAnsi="Times New Roman" w:eastAsia="仿宋_GB2312" w:cs="Times New Roman"/>
          <w:b/>
          <w:bCs/>
          <w:kern w:val="0"/>
          <w:sz w:val="32"/>
          <w:szCs w:val="32"/>
          <w:lang w:val="en-US" w:eastAsia="zh-CN"/>
        </w:rPr>
        <w:t>（项）</w:t>
      </w:r>
      <w:r>
        <w:rPr>
          <w:rFonts w:hint="eastAsia" w:ascii="仿宋" w:hAnsi="仿宋" w:eastAsia="仿宋" w:cs="仿宋_GB2312"/>
          <w:sz w:val="32"/>
          <w:szCs w:val="32"/>
          <w:lang w:val="en-US" w:eastAsia="zh-CN"/>
        </w:rPr>
        <w:t>年初预算为0.00元，支出决算为230000.00元,完成年初预算的0.00%。决算数大于预算数的主要原因是：该笔资金为2023年秋季农田水利建设资金，未列入预算。</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城乡社区支出（类）城乡社区公共设施（款）其他城乡社区公共设施支出</w:t>
      </w:r>
      <w:r>
        <w:rPr>
          <w:rFonts w:hint="eastAsia" w:ascii="仿宋" w:hAnsi="仿宋" w:eastAsia="仿宋" w:cs="仿宋_GB2312"/>
          <w:sz w:val="32"/>
          <w:szCs w:val="32"/>
          <w:lang w:val="en-US" w:eastAsia="zh-CN"/>
        </w:rPr>
        <w:t>年初预算为100000.00元，支出决算为124870.97元,完成年初预算的124.87%。决算数大于预算数的主要原因是：2022年结转24870.97元。</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农林水支出（类）水利（款）</w:t>
      </w:r>
      <w:r>
        <w:rPr>
          <w:rFonts w:hint="default" w:ascii="Times New Roman" w:hAnsi="Times New Roman" w:eastAsia="仿宋_GB2312" w:cs="Times New Roman"/>
          <w:b/>
          <w:bCs/>
          <w:kern w:val="0"/>
          <w:sz w:val="32"/>
          <w:szCs w:val="32"/>
          <w:lang w:val="en-US" w:eastAsia="zh-CN"/>
        </w:rPr>
        <w:t>其他水利支出</w:t>
      </w:r>
      <w:r>
        <w:rPr>
          <w:rFonts w:hint="eastAsia" w:ascii="Times New Roman" w:hAnsi="Times New Roman" w:eastAsia="仿宋_GB2312" w:cs="Times New Roman"/>
          <w:b/>
          <w:bCs/>
          <w:kern w:val="0"/>
          <w:sz w:val="32"/>
          <w:szCs w:val="32"/>
          <w:lang w:val="en-US" w:eastAsia="zh-CN"/>
        </w:rPr>
        <w:t>（项）</w:t>
      </w:r>
      <w:r>
        <w:rPr>
          <w:rFonts w:hint="eastAsia" w:ascii="仿宋" w:hAnsi="仿宋" w:eastAsia="仿宋" w:cs="仿宋_GB2312"/>
          <w:sz w:val="32"/>
          <w:szCs w:val="32"/>
          <w:lang w:val="en-US" w:eastAsia="zh-CN"/>
        </w:rPr>
        <w:t>年初预算为0.00元，支出决算为15486580.00元,完成年初预算的0.00%。决算数大于预算数的主要原因是：支付同利村现代农业示范园基础设施建设项目540万，多规合一实用性项目120万，渔光湖肉牛养殖以工代赈项目100万。清洁能源项目386万元，建筑能效提升项目210万元，抗震宜居项目50万元，黄沙窝美丽村庄建设项目70万元，以上项目未列入预算。</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公共安全支出（类）公安（款）</w:t>
      </w:r>
      <w:r>
        <w:rPr>
          <w:rFonts w:hint="default" w:ascii="Times New Roman" w:hAnsi="Times New Roman" w:eastAsia="仿宋_GB2312" w:cs="Times New Roman"/>
          <w:b/>
          <w:bCs/>
          <w:kern w:val="0"/>
          <w:sz w:val="32"/>
          <w:szCs w:val="32"/>
          <w:lang w:val="en-US" w:eastAsia="zh-CN"/>
        </w:rPr>
        <w:t>其他公安支出</w:t>
      </w:r>
      <w:r>
        <w:rPr>
          <w:rFonts w:hint="eastAsia" w:ascii="Times New Roman" w:hAnsi="Times New Roman" w:eastAsia="仿宋_GB2312" w:cs="Times New Roman"/>
          <w:b/>
          <w:bCs/>
          <w:kern w:val="0"/>
          <w:sz w:val="32"/>
          <w:szCs w:val="32"/>
          <w:lang w:val="en-US" w:eastAsia="zh-CN"/>
        </w:rPr>
        <w:t>（项）</w:t>
      </w:r>
      <w:r>
        <w:rPr>
          <w:rFonts w:hint="eastAsia" w:ascii="仿宋" w:hAnsi="仿宋" w:eastAsia="仿宋" w:cs="仿宋_GB2312"/>
          <w:sz w:val="32"/>
          <w:szCs w:val="32"/>
          <w:lang w:val="en-US" w:eastAsia="zh-CN"/>
        </w:rPr>
        <w:t>年初预算为20000.00元，支出决算为60485.75元,完成年初预算的302.43%。决算数大于预算数的主要原因是：社会治安综合治理中心建设费用40485.75元，人武部工作经费20000元，社会治安综合治理中心建设费用未列入预算。</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农林水支出（类）农村综合改革（款）对村级公益事业建设的补助</w:t>
      </w:r>
      <w:r>
        <w:rPr>
          <w:rFonts w:hint="eastAsia" w:ascii="仿宋" w:hAnsi="仿宋" w:eastAsia="仿宋" w:cs="仿宋_GB2312"/>
          <w:sz w:val="32"/>
          <w:szCs w:val="32"/>
          <w:lang w:val="en-US" w:eastAsia="zh-CN"/>
        </w:rPr>
        <w:t>年初预算为0.00元，支出决算为6209902.73元,完成年初预算的0.00%。决算数大于预算数的主要原因是：2022年-2023年农村公益事业项目未列入年初预算资金。</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社会保障和就业支出（类）机关事业单位职业年金缴费支出</w:t>
      </w:r>
      <w:r>
        <w:rPr>
          <w:rFonts w:hint="eastAsia" w:ascii="仿宋" w:hAnsi="仿宋" w:eastAsia="仿宋" w:cs="仿宋_GB2312"/>
          <w:sz w:val="32"/>
          <w:szCs w:val="32"/>
          <w:lang w:val="en-US" w:eastAsia="zh-CN"/>
        </w:rPr>
        <w:t>年初预算为397685.20元，支出决算为420620.27元,完成年初预算的105.77%。决算数大于预算数的主要原因是：做实以前年度职业年金。</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卫生健康（类）公共卫生支出（款）</w:t>
      </w:r>
      <w:r>
        <w:rPr>
          <w:rFonts w:hint="eastAsia" w:ascii="仿宋" w:hAnsi="仿宋" w:eastAsia="仿宋" w:cs="仿宋_GB2312"/>
          <w:sz w:val="32"/>
          <w:szCs w:val="32"/>
          <w:lang w:val="en-US" w:eastAsia="zh-CN"/>
        </w:rPr>
        <w:t>突</w:t>
      </w:r>
      <w:r>
        <w:rPr>
          <w:rFonts w:hint="eastAsia" w:ascii="Times New Roman" w:hAnsi="Times New Roman" w:eastAsia="仿宋_GB2312" w:cs="Times New Roman"/>
          <w:b/>
          <w:bCs/>
          <w:kern w:val="0"/>
          <w:sz w:val="32"/>
          <w:szCs w:val="32"/>
          <w:lang w:val="en-US" w:eastAsia="zh-CN"/>
        </w:rPr>
        <w:t>发公共卫生事件应急处理</w:t>
      </w:r>
      <w:r>
        <w:rPr>
          <w:rFonts w:hint="eastAsia" w:ascii="仿宋" w:hAnsi="仿宋" w:eastAsia="仿宋" w:cs="仿宋_GB2312"/>
          <w:sz w:val="32"/>
          <w:szCs w:val="32"/>
          <w:lang w:val="en-US" w:eastAsia="zh-CN"/>
        </w:rPr>
        <w:t>年初预算为0.00元，支出决算为229303.20元,完成年初预算的0.00%。决算数大于预算数的主要原因是：2022年疫情防控结余资金，未列入年初预算。</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卫生健康（类）公共卫生支出（款）基本公共卫生服务</w:t>
      </w:r>
      <w:r>
        <w:rPr>
          <w:rFonts w:hint="eastAsia" w:ascii="仿宋" w:hAnsi="仿宋" w:eastAsia="仿宋" w:cs="仿宋_GB2312"/>
          <w:sz w:val="32"/>
          <w:szCs w:val="32"/>
          <w:lang w:val="en-US" w:eastAsia="zh-CN"/>
        </w:rPr>
        <w:t>年初预算为0.00元，支出决算为5400.00元,完成年初预算的0.00%。决算数大于预算数的主要原因是：独生子女费，未列入年初预算。</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社会保障和就业支出（类）购房补贴</w:t>
      </w:r>
      <w:r>
        <w:rPr>
          <w:rFonts w:hint="eastAsia" w:ascii="仿宋" w:hAnsi="仿宋" w:eastAsia="仿宋" w:cs="仿宋_GB2312"/>
          <w:sz w:val="32"/>
          <w:szCs w:val="32"/>
          <w:lang w:val="en-US" w:eastAsia="zh-CN"/>
        </w:rPr>
        <w:t>年初预算为383638.56元，支出决算为393337.00元,完成年初预算的102.53%。决算数大于预算数的主要原因是：新招录三名干部。</w:t>
      </w:r>
      <w:r>
        <w:rPr>
          <w:rFonts w:ascii="Times New Roman" w:hAnsi="Times New Roman" w:eastAsia="楷体_GB2312" w:cs="Times New Roman"/>
          <w:b/>
          <w:bCs/>
          <w:kern w:val="0"/>
          <w:sz w:val="32"/>
          <w:szCs w:val="32"/>
          <w:lang w:val="en-US" w:eastAsia="zh-CN"/>
        </w:rPr>
        <w:cr/>
      </w:r>
      <w:r>
        <w:rPr>
          <w:rFonts w:hint="eastAsia" w:ascii="仿宋" w:hAnsi="仿宋" w:eastAsia="仿宋" w:cs="仿宋_GB2312"/>
          <w:sz w:val="32"/>
          <w:szCs w:val="32"/>
          <w:lang w:val="en-US" w:eastAsia="zh-CN"/>
        </w:rPr>
        <w:t xml:space="preserve">    </w:t>
      </w:r>
      <w:r>
        <w:rPr>
          <w:rFonts w:hint="eastAsia" w:ascii="Times New Roman" w:hAnsi="Times New Roman" w:eastAsia="仿宋_GB2312" w:cs="Times New Roman"/>
          <w:b/>
          <w:bCs/>
          <w:kern w:val="0"/>
          <w:sz w:val="32"/>
          <w:szCs w:val="32"/>
          <w:lang w:val="en-US" w:eastAsia="zh-CN"/>
        </w:rPr>
        <w:t>农林水支出（类）其他巩固脱贫衔接乡村振兴支出</w:t>
      </w:r>
      <w:r>
        <w:rPr>
          <w:rFonts w:hint="eastAsia" w:ascii="仿宋" w:hAnsi="仿宋" w:eastAsia="仿宋" w:cs="仿宋_GB2312"/>
          <w:sz w:val="32"/>
          <w:szCs w:val="32"/>
          <w:lang w:val="en-US" w:eastAsia="zh-CN"/>
        </w:rPr>
        <w:t>年初预算为0.00元，支出决算为22524425.00元,完成年初预算的0.00%。决算数大于预算数的主要原因是：2023年中央财政衔接推进乡村振兴补助资金1116万元。，渔光湖肉牛养殖以工代赈项目400万，发展集体经济链农带农资金20万元，同利村现代产业园以工代赈项目316万，利原村冷库建设项目250万元，石家窑村壮大村集体经济100万元，渔光湖村蜜蜂养殖项目50万元。以上资金均未列入年初预算。</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left"/>
        <w:textAlignment w:val="auto"/>
        <w:outlineLvl w:val="1"/>
        <w:rPr>
          <w:rFonts w:ascii="Times New Roman" w:hAnsi="Times New Roman" w:eastAsia="楷体_GB2312" w:cs="Times New Roman"/>
          <w:b/>
          <w:bCs/>
          <w:kern w:val="0"/>
          <w:sz w:val="32"/>
          <w:szCs w:val="32"/>
          <w:lang w:val="en-US" w:eastAsia="zh-CN"/>
        </w:rPr>
      </w:pPr>
      <w:r>
        <w:rPr>
          <w:rFonts w:hint="eastAsia" w:ascii="Times New Roman" w:hAnsi="Times New Roman" w:eastAsia="楷体_GB2312" w:cs="Times New Roman"/>
          <w:b/>
          <w:bCs/>
          <w:kern w:val="0"/>
          <w:sz w:val="32"/>
          <w:szCs w:val="32"/>
          <w:lang w:val="en-US" w:eastAsia="zh-CN"/>
        </w:rPr>
        <w:t>六、一般公共预算财政拨款基本支出决算情况说明</w:t>
      </w:r>
    </w:p>
    <w:p>
      <w:pPr>
        <w:pStyle w:val="11"/>
        <w:spacing w:line="540" w:lineRule="exact"/>
        <w:ind w:firstLine="640" w:firstLineChars="200"/>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color w:val="auto"/>
          <w:sz w:val="32"/>
          <w:szCs w:val="32"/>
          <w:lang w:val="en-US" w:eastAsia="zh-CN"/>
        </w:rPr>
        <w:t>2023年度一般公共预算财政拨款基本支出</w:t>
      </w:r>
      <w:r>
        <w:rPr>
          <w:rFonts w:hint="eastAsia" w:ascii="仿宋" w:hAnsi="仿宋" w:eastAsia="仿宋" w:cs="仿宋_GB2312"/>
          <w:sz w:val="32"/>
          <w:szCs w:val="32"/>
          <w:lang w:val="en-US" w:eastAsia="zh-CN"/>
        </w:rPr>
        <w:t>11690848.40</w:t>
      </w:r>
      <w:r>
        <w:rPr>
          <w:rFonts w:ascii="Times New Roman" w:hAnsi="Times New Roman" w:eastAsia="仿宋_GB2312" w:cs="Times New Roman"/>
          <w:color w:val="auto"/>
          <w:sz w:val="32"/>
          <w:szCs w:val="32"/>
          <w:lang w:val="en-US" w:eastAsia="zh-CN"/>
        </w:rPr>
        <w:t>元，</w:t>
      </w:r>
      <w:r>
        <w:rPr>
          <w:rFonts w:ascii="Times New Roman" w:hAnsi="Times New Roman" w:eastAsia="仿宋_GB2312" w:cs="Times New Roman"/>
          <w:sz w:val="32"/>
          <w:szCs w:val="32"/>
          <w:lang w:val="en-US" w:eastAsia="zh-CN"/>
        </w:rPr>
        <w:t>其中：人员经费</w:t>
      </w:r>
      <w:r>
        <w:rPr>
          <w:rFonts w:hint="eastAsia" w:ascii="仿宋" w:hAnsi="仿宋" w:eastAsia="仿宋" w:cs="仿宋_GB2312"/>
          <w:sz w:val="32"/>
          <w:szCs w:val="32"/>
          <w:lang w:val="en-US" w:eastAsia="zh-CN"/>
        </w:rPr>
        <w:t>11224570.07</w:t>
      </w:r>
      <w:r>
        <w:rPr>
          <w:rFonts w:ascii="Times New Roman" w:hAnsi="Times New Roman" w:eastAsia="仿宋_GB2312" w:cs="Times New Roman"/>
          <w:sz w:val="32"/>
          <w:szCs w:val="32"/>
          <w:lang w:val="en-US" w:eastAsia="zh-CN"/>
        </w:rPr>
        <w:t>元，公用经费</w:t>
      </w:r>
      <w:r>
        <w:rPr>
          <w:rFonts w:hint="eastAsia" w:ascii="仿宋" w:hAnsi="仿宋" w:eastAsia="仿宋" w:cs="仿宋_GB2312"/>
          <w:sz w:val="32"/>
          <w:szCs w:val="32"/>
          <w:lang w:val="en-US" w:eastAsia="zh-CN"/>
        </w:rPr>
        <w:t>466278.33</w:t>
      </w:r>
      <w:r>
        <w:rPr>
          <w:rFonts w:ascii="Times New Roman" w:hAnsi="Times New Roman" w:eastAsia="仿宋_GB2312" w:cs="Times New Roman"/>
          <w:sz w:val="32"/>
          <w:szCs w:val="32"/>
          <w:lang w:val="en-US" w:eastAsia="zh-CN"/>
        </w:rPr>
        <w:t>元。</w:t>
      </w:r>
      <w:r>
        <w:rPr>
          <w:rFonts w:ascii="Times New Roman" w:hAnsi="Times New Roman" w:eastAsia="仿宋_GB2312" w:cs="Times New Roman"/>
          <w:color w:val="auto"/>
          <w:sz w:val="32"/>
          <w:szCs w:val="32"/>
          <w:lang w:val="en-US" w:eastAsia="zh-CN"/>
        </w:rPr>
        <w:t xml:space="preserve">支出具体情况如下： </w:t>
      </w:r>
    </w:p>
    <w:p>
      <w:pPr>
        <w:pStyle w:val="11"/>
        <w:spacing w:line="540" w:lineRule="exact"/>
        <w:ind w:firstLine="640" w:firstLineChars="200"/>
        <w:rPr>
          <w:rFonts w:hint="eastAsia" w:ascii="Times New Roman" w:hAnsi="Times New Roman" w:eastAsia="仿宋" w:cs="Times New Roman"/>
          <w:color w:val="auto"/>
          <w:sz w:val="32"/>
          <w:szCs w:val="32"/>
          <w:lang w:val="en-US" w:eastAsia="zh-CN"/>
        </w:rPr>
      </w:pPr>
      <w:r>
        <w:rPr>
          <w:rFonts w:ascii="Times New Roman" w:hAnsi="Times New Roman" w:eastAsia="仿宋_GB2312" w:cs="Times New Roman"/>
          <w:color w:val="auto"/>
          <w:sz w:val="32"/>
          <w:szCs w:val="32"/>
          <w:lang w:val="en-US" w:eastAsia="zh-CN"/>
        </w:rPr>
        <w:t>1.工资福利支出</w:t>
      </w:r>
      <w:r>
        <w:rPr>
          <w:rFonts w:hint="eastAsia" w:ascii="仿宋" w:hAnsi="仿宋" w:eastAsia="仿宋" w:cs="仿宋_GB2312"/>
          <w:sz w:val="32"/>
          <w:szCs w:val="32"/>
          <w:lang w:val="en-US" w:eastAsia="zh-CN"/>
        </w:rPr>
        <w:t>10954578.07</w:t>
      </w:r>
      <w:r>
        <w:rPr>
          <w:rFonts w:ascii="Times New Roman" w:hAnsi="Times New Roman" w:eastAsia="仿宋_GB2312" w:cs="Times New Roman"/>
          <w:color w:val="auto"/>
          <w:sz w:val="32"/>
          <w:szCs w:val="32"/>
          <w:lang w:val="en-US" w:eastAsia="zh-CN"/>
        </w:rPr>
        <w:t>元，较2023年度年初预算数</w:t>
      </w:r>
      <w:r>
        <w:rPr>
          <w:rFonts w:hint="eastAsia" w:ascii="仿宋" w:hAnsi="仿宋" w:eastAsia="仿宋" w:cs="仿宋_GB2312"/>
          <w:sz w:val="32"/>
          <w:szCs w:val="32"/>
          <w:lang w:val="en-US" w:eastAsia="zh-CN"/>
        </w:rPr>
        <w:t>持平</w:t>
      </w:r>
      <w:r>
        <w:rPr>
          <w:rFonts w:ascii="Times New Roman" w:hAnsi="Times New Roman" w:eastAsia="仿宋_GB2312" w:cs="Times New Roman"/>
          <w:color w:val="auto"/>
          <w:sz w:val="32"/>
          <w:szCs w:val="32"/>
          <w:lang w:val="en-US" w:eastAsia="zh-CN"/>
        </w:rPr>
        <w:t>，主要原因是</w:t>
      </w:r>
      <w:r>
        <w:rPr>
          <w:rFonts w:hint="eastAsia" w:ascii="仿宋" w:hAnsi="仿宋" w:eastAsia="仿宋" w:cs="仿宋_GB2312"/>
          <w:sz w:val="32"/>
          <w:szCs w:val="32"/>
          <w:lang w:val="en-US" w:eastAsia="zh-CN"/>
        </w:rPr>
        <w:t>100%</w:t>
      </w:r>
      <w:r>
        <w:rPr>
          <w:rFonts w:ascii="Times New Roman" w:hAnsi="Times New Roman" w:eastAsia="仿宋_GB2312" w:cs="Times New Roman"/>
          <w:color w:val="auto"/>
          <w:sz w:val="32"/>
          <w:szCs w:val="32"/>
          <w:lang w:val="en-US" w:eastAsia="zh-CN"/>
        </w:rPr>
        <w:t>较2022年度决算数</w:t>
      </w:r>
      <w:r>
        <w:rPr>
          <w:rFonts w:hint="eastAsia" w:ascii="Times New Roman" w:hAnsi="Times New Roman" w:eastAsia="仿宋_GB2312" w:cs="Times New Roman"/>
          <w:color w:val="auto"/>
          <w:sz w:val="32"/>
          <w:szCs w:val="32"/>
          <w:lang w:val="en-US" w:eastAsia="zh-CN"/>
        </w:rPr>
        <w:t>增加751960.42元，增长7.37%</w:t>
      </w:r>
      <w:r>
        <w:rPr>
          <w:rFonts w:hint="eastAsia" w:ascii="仿宋" w:hAnsi="仿宋" w:eastAsia="仿宋" w:cs="仿宋_GB2312"/>
          <w:sz w:val="32"/>
          <w:szCs w:val="32"/>
          <w:lang w:val="en-US" w:eastAsia="zh-CN"/>
        </w:rPr>
        <w:t>。</w:t>
      </w:r>
    </w:p>
    <w:p>
      <w:pPr>
        <w:pStyle w:val="11"/>
        <w:spacing w:line="540" w:lineRule="exact"/>
        <w:ind w:firstLine="640" w:firstLineChars="200"/>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sz w:val="32"/>
          <w:szCs w:val="32"/>
          <w:lang w:val="en-US" w:eastAsia="zh-CN"/>
        </w:rPr>
        <w:t>2.商品和服务支出</w:t>
      </w:r>
      <w:r>
        <w:rPr>
          <w:rFonts w:hint="eastAsia" w:ascii="仿宋" w:hAnsi="仿宋" w:eastAsia="仿宋" w:cs="仿宋_GB2312"/>
          <w:sz w:val="32"/>
          <w:szCs w:val="32"/>
          <w:lang w:val="en-US" w:eastAsia="zh-CN"/>
        </w:rPr>
        <w:t>466278.33</w:t>
      </w:r>
      <w:r>
        <w:rPr>
          <w:rFonts w:ascii="Times New Roman" w:hAnsi="Times New Roman" w:eastAsia="仿宋_GB2312" w:cs="Times New Roman"/>
          <w:sz w:val="32"/>
          <w:szCs w:val="32"/>
          <w:lang w:val="en-US" w:eastAsia="zh-CN"/>
        </w:rPr>
        <w:t>元，</w:t>
      </w:r>
      <w:r>
        <w:rPr>
          <w:rFonts w:ascii="Times New Roman" w:hAnsi="Times New Roman" w:eastAsia="仿宋_GB2312" w:cs="Times New Roman"/>
          <w:color w:val="auto"/>
          <w:sz w:val="32"/>
          <w:szCs w:val="32"/>
          <w:lang w:val="en-US" w:eastAsia="zh-CN"/>
        </w:rPr>
        <w:t>较2023年度年初预算数</w:t>
      </w:r>
      <w:r>
        <w:rPr>
          <w:rFonts w:hint="eastAsia" w:ascii="仿宋" w:hAnsi="仿宋" w:eastAsia="仿宋" w:cs="仿宋_GB2312"/>
          <w:sz w:val="32"/>
          <w:szCs w:val="32"/>
          <w:lang w:val="en-US" w:eastAsia="zh-CN"/>
        </w:rPr>
        <w:t>持平</w:t>
      </w:r>
      <w:r>
        <w:rPr>
          <w:rFonts w:ascii="Times New Roman" w:hAnsi="Times New Roman" w:eastAsia="仿宋_GB2312" w:cs="Times New Roman"/>
          <w:color w:val="auto"/>
          <w:sz w:val="32"/>
          <w:szCs w:val="32"/>
          <w:lang w:val="en-US" w:eastAsia="zh-CN"/>
        </w:rPr>
        <w:t>，主要原因是</w:t>
      </w:r>
      <w:r>
        <w:rPr>
          <w:rFonts w:hint="eastAsia" w:ascii="仿宋" w:hAnsi="仿宋" w:eastAsia="仿宋"/>
          <w:sz w:val="32"/>
          <w:szCs w:val="32"/>
          <w:lang w:val="en-US" w:eastAsia="zh-CN"/>
        </w:rPr>
        <w:t>我镇严格按预算数执行。</w:t>
      </w:r>
      <w:r>
        <w:rPr>
          <w:rFonts w:ascii="Times New Roman" w:hAnsi="Times New Roman" w:eastAsia="仿宋_GB2312" w:cs="Times New Roman"/>
          <w:color w:val="auto"/>
          <w:sz w:val="32"/>
          <w:szCs w:val="32"/>
          <w:lang w:val="en-US" w:eastAsia="zh-CN"/>
        </w:rPr>
        <w:t>较2022年度决算数</w:t>
      </w:r>
      <w:r>
        <w:rPr>
          <w:rFonts w:hint="eastAsia" w:ascii="Times New Roman" w:hAnsi="Times New Roman" w:eastAsia="仿宋_GB2312" w:cs="Times New Roman"/>
          <w:color w:val="auto"/>
          <w:sz w:val="32"/>
          <w:szCs w:val="32"/>
          <w:lang w:val="en-US" w:eastAsia="zh-CN"/>
        </w:rPr>
        <w:t>减少119138.67元,下降20.35 %</w:t>
      </w:r>
      <w:r>
        <w:rPr>
          <w:rFonts w:ascii="Times New Roman" w:hAnsi="Times New Roman" w:eastAsia="仿宋_GB2312" w:cs="Times New Roman"/>
          <w:color w:val="auto"/>
          <w:sz w:val="32"/>
          <w:szCs w:val="32"/>
          <w:lang w:val="en-US" w:eastAsia="zh-CN"/>
        </w:rPr>
        <w:t>。</w:t>
      </w:r>
    </w:p>
    <w:p>
      <w:pPr>
        <w:pStyle w:val="11"/>
        <w:spacing w:line="540" w:lineRule="exact"/>
        <w:ind w:firstLine="640" w:firstLineChars="200"/>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sz w:val="32"/>
          <w:szCs w:val="32"/>
          <w:lang w:val="en-US" w:eastAsia="zh-CN"/>
        </w:rPr>
        <w:t>3.对个人和家庭的补助</w:t>
      </w:r>
      <w:r>
        <w:rPr>
          <w:rFonts w:hint="eastAsia" w:ascii="仿宋" w:hAnsi="仿宋" w:eastAsia="仿宋" w:cs="仿宋_GB2312"/>
          <w:sz w:val="32"/>
          <w:szCs w:val="32"/>
          <w:lang w:val="en-US" w:eastAsia="zh-CN"/>
        </w:rPr>
        <w:t>269992.00</w:t>
      </w:r>
      <w:r>
        <w:rPr>
          <w:rFonts w:ascii="Times New Roman" w:hAnsi="Times New Roman" w:eastAsia="仿宋_GB2312" w:cs="Times New Roman"/>
          <w:sz w:val="32"/>
          <w:szCs w:val="32"/>
          <w:lang w:val="en-US" w:eastAsia="zh-CN"/>
        </w:rPr>
        <w:t>元，</w:t>
      </w:r>
      <w:r>
        <w:rPr>
          <w:rFonts w:ascii="Times New Roman" w:hAnsi="Times New Roman" w:eastAsia="仿宋_GB2312" w:cs="Times New Roman"/>
          <w:color w:val="auto"/>
          <w:sz w:val="32"/>
          <w:szCs w:val="32"/>
          <w:lang w:val="en-US" w:eastAsia="zh-CN"/>
        </w:rPr>
        <w:t>较2023年度年初预算数</w:t>
      </w:r>
      <w:r>
        <w:rPr>
          <w:rFonts w:hint="eastAsia" w:ascii="仿宋" w:hAnsi="仿宋" w:eastAsia="仿宋" w:cs="仿宋_GB2312"/>
          <w:sz w:val="32"/>
          <w:szCs w:val="32"/>
          <w:lang w:val="en-US" w:eastAsia="zh-CN"/>
        </w:rPr>
        <w:t>持平</w:t>
      </w:r>
      <w:r>
        <w:rPr>
          <w:rFonts w:ascii="Times New Roman" w:hAnsi="Times New Roman" w:eastAsia="仿宋_GB2312" w:cs="Times New Roman"/>
          <w:color w:val="auto"/>
          <w:sz w:val="32"/>
          <w:szCs w:val="32"/>
          <w:lang w:val="en-US" w:eastAsia="zh-CN"/>
        </w:rPr>
        <w:t>，主要原因是</w:t>
      </w:r>
      <w:r>
        <w:rPr>
          <w:rFonts w:hint="eastAsia" w:ascii="仿宋" w:hAnsi="仿宋" w:eastAsia="仿宋"/>
          <w:sz w:val="32"/>
          <w:szCs w:val="32"/>
          <w:lang w:val="en-US" w:eastAsia="zh-CN"/>
        </w:rPr>
        <w:t>我镇严格按预算数执行。</w:t>
      </w:r>
      <w:r>
        <w:rPr>
          <w:rFonts w:ascii="Times New Roman" w:hAnsi="Times New Roman" w:eastAsia="仿宋_GB2312" w:cs="Times New Roman"/>
          <w:color w:val="auto"/>
          <w:sz w:val="32"/>
          <w:szCs w:val="32"/>
          <w:lang w:val="en-US" w:eastAsia="zh-CN"/>
        </w:rPr>
        <w:t>较2022年度决算数</w:t>
      </w:r>
      <w:r>
        <w:rPr>
          <w:rFonts w:hint="eastAsia" w:ascii="Times New Roman" w:hAnsi="Times New Roman" w:eastAsia="仿宋_GB2312" w:cs="Times New Roman"/>
          <w:color w:val="auto"/>
          <w:sz w:val="32"/>
          <w:szCs w:val="32"/>
          <w:lang w:val="en-US" w:eastAsia="zh-CN"/>
        </w:rPr>
        <w:t>增加86734.00元，增长47.33%</w:t>
      </w:r>
      <w:r>
        <w:rPr>
          <w:rFonts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楷体_GB2312" w:cs="Times New Roman"/>
          <w:b/>
          <w:bCs/>
          <w:kern w:val="0"/>
          <w:sz w:val="32"/>
          <w:szCs w:val="32"/>
          <w:lang w:val="en-US" w:eastAsia="zh-CN"/>
        </w:rPr>
      </w:pPr>
      <w:r>
        <w:rPr>
          <w:rFonts w:hint="eastAsia" w:ascii="Times New Roman" w:hAnsi="Times New Roman" w:eastAsia="楷体_GB2312" w:cs="Times New Roman"/>
          <w:b/>
          <w:bCs/>
          <w:kern w:val="0"/>
          <w:sz w:val="32"/>
          <w:szCs w:val="32"/>
          <w:lang w:val="en-US" w:eastAsia="zh-CN"/>
        </w:rPr>
        <w:t>七、财政拨款“三公”经费支出决算情况说明</w:t>
      </w:r>
    </w:p>
    <w:p>
      <w:pPr>
        <w:numPr>
          <w:ilvl w:val="0"/>
          <w:numId w:val="0"/>
        </w:numPr>
        <w:autoSpaceDE w:val="0"/>
        <w:autoSpaceDN w:val="0"/>
        <w:adjustRightInd w:val="0"/>
        <w:spacing w:line="540" w:lineRule="exact"/>
        <w:ind w:left="477" w:leftChars="227" w:firstLine="154" w:firstLineChars="48"/>
        <w:jc w:val="left"/>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b/>
          <w:kern w:val="0"/>
          <w:sz w:val="32"/>
          <w:szCs w:val="32"/>
          <w:lang w:val="en-US" w:eastAsia="zh-CN" w:bidi="ar-SA"/>
        </w:rPr>
        <w:t>（一）</w:t>
      </w:r>
      <w:r>
        <w:rPr>
          <w:rFonts w:ascii="Times New Roman" w:hAnsi="Times New Roman" w:eastAsia="仿宋_GB2312" w:cs="Times New Roman"/>
          <w:b/>
          <w:kern w:val="0"/>
          <w:sz w:val="32"/>
          <w:szCs w:val="32"/>
          <w:lang w:val="en-US" w:eastAsia="zh-CN"/>
        </w:rPr>
        <w:t>“三公”经费财政拨款支出决算总体情况说明。</w:t>
      </w:r>
    </w:p>
    <w:p>
      <w:pPr>
        <w:autoSpaceDE w:val="0"/>
        <w:autoSpaceDN w:val="0"/>
        <w:adjustRightInd w:val="0"/>
        <w:spacing w:line="540" w:lineRule="exact"/>
        <w:ind w:firstLine="640" w:firstLineChars="200"/>
        <w:jc w:val="left"/>
        <w:rPr>
          <w:rFonts w:hint="eastAsia"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年度“三公”经费</w:t>
      </w:r>
      <w:r>
        <w:rPr>
          <w:rFonts w:hint="default" w:ascii="Times New Roman" w:hAnsi="Times New Roman" w:eastAsia="仿宋_GB2312" w:cs="Times New Roman"/>
          <w:kern w:val="0"/>
          <w:sz w:val="32"/>
          <w:szCs w:val="32"/>
          <w:lang w:eastAsia="zh-CN"/>
        </w:rPr>
        <w:t>一般公共预算</w:t>
      </w:r>
      <w:r>
        <w:rPr>
          <w:rFonts w:hint="default" w:ascii="Times New Roman" w:hAnsi="Times New Roman" w:eastAsia="仿宋_GB2312" w:cs="Times New Roman"/>
          <w:kern w:val="0"/>
          <w:sz w:val="32"/>
          <w:szCs w:val="32"/>
        </w:rPr>
        <w:t>财政拨款支出预算为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元，支出决算为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元，完成预算的</w:t>
      </w:r>
      <w:r>
        <w:rPr>
          <w:rFonts w:hint="eastAsia" w:ascii="Times New Roman" w:hAnsi="Times New Roman" w:eastAsia="仿宋_GB2312" w:cs="Times New Roman"/>
          <w:kern w:val="0"/>
          <w:sz w:val="32"/>
          <w:szCs w:val="32"/>
          <w:lang w:val="en-US" w:eastAsia="zh-CN"/>
        </w:rPr>
        <w:t>100</w:t>
      </w:r>
      <w:r>
        <w:rPr>
          <w:rFonts w:hint="default" w:ascii="Times New Roman" w:hAnsi="Times New Roman" w:eastAsia="仿宋_GB2312" w:cs="Times New Roman"/>
          <w:kern w:val="0"/>
          <w:sz w:val="32"/>
          <w:szCs w:val="32"/>
        </w:rPr>
        <w:t>%，20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年度“三公”经费支出决算数</w:t>
      </w:r>
      <w:r>
        <w:rPr>
          <w:rFonts w:hint="eastAsia" w:ascii="Times New Roman" w:hAnsi="Times New Roman" w:eastAsia="仿宋_GB2312" w:cs="Times New Roman"/>
          <w:kern w:val="0"/>
          <w:sz w:val="32"/>
          <w:szCs w:val="32"/>
          <w:lang w:eastAsia="zh-CN"/>
        </w:rPr>
        <w:t>与</w:t>
      </w:r>
      <w:r>
        <w:rPr>
          <w:rFonts w:hint="default" w:ascii="Times New Roman" w:hAnsi="Times New Roman" w:eastAsia="仿宋_GB2312" w:cs="Times New Roman"/>
          <w:kern w:val="0"/>
          <w:sz w:val="32"/>
          <w:szCs w:val="32"/>
        </w:rPr>
        <w:t>预算数</w:t>
      </w:r>
      <w:r>
        <w:rPr>
          <w:rFonts w:hint="eastAsia" w:ascii="Times New Roman" w:hAnsi="Times New Roman" w:eastAsia="仿宋_GB2312" w:cs="Times New Roman"/>
          <w:kern w:val="0"/>
          <w:sz w:val="32"/>
          <w:szCs w:val="32"/>
          <w:lang w:eastAsia="zh-CN"/>
        </w:rPr>
        <w:t>都为零</w:t>
      </w:r>
      <w:r>
        <w:rPr>
          <w:rFonts w:hint="default" w:ascii="Times New Roman" w:hAnsi="Times New Roman" w:eastAsia="仿宋_GB2312" w:cs="Times New Roman"/>
          <w:kern w:val="0"/>
          <w:sz w:val="32"/>
          <w:szCs w:val="32"/>
        </w:rPr>
        <w:t>的主要原因</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b/>
          <w:bCs/>
          <w:kern w:val="0"/>
          <w:sz w:val="32"/>
          <w:szCs w:val="32"/>
          <w:lang w:eastAsia="zh-CN"/>
        </w:rPr>
        <w:t>一是</w:t>
      </w:r>
      <w:r>
        <w:rPr>
          <w:rFonts w:hint="eastAsia" w:ascii="Times New Roman" w:hAnsi="Times New Roman" w:eastAsia="仿宋_GB2312" w:cs="Times New Roman"/>
          <w:kern w:val="0"/>
          <w:sz w:val="32"/>
          <w:szCs w:val="32"/>
          <w:lang w:eastAsia="zh-CN"/>
        </w:rPr>
        <w:t>公务用车改革后单位没有公务用车，故而不存在公务用车运行维护费用；</w:t>
      </w:r>
      <w:r>
        <w:rPr>
          <w:rFonts w:hint="eastAsia" w:ascii="Times New Roman" w:hAnsi="Times New Roman" w:eastAsia="仿宋_GB2312" w:cs="Times New Roman"/>
          <w:b/>
          <w:bCs/>
          <w:kern w:val="0"/>
          <w:sz w:val="32"/>
          <w:szCs w:val="32"/>
          <w:lang w:eastAsia="zh-CN"/>
        </w:rPr>
        <w:t>二是</w:t>
      </w:r>
      <w:r>
        <w:rPr>
          <w:rFonts w:hint="eastAsia" w:ascii="Times New Roman" w:hAnsi="Times New Roman" w:eastAsia="仿宋_GB2312" w:cs="Times New Roman"/>
          <w:kern w:val="0"/>
          <w:sz w:val="32"/>
          <w:szCs w:val="32"/>
          <w:lang w:eastAsia="zh-CN"/>
        </w:rPr>
        <w:t>由于公用经费紧张，年初未安排公务接待费用预算，所以也未发生用财政拨款资金支出的公务接待费用；</w:t>
      </w:r>
      <w:r>
        <w:rPr>
          <w:rFonts w:hint="eastAsia" w:ascii="Times New Roman" w:hAnsi="Times New Roman" w:eastAsia="仿宋_GB2312" w:cs="Times New Roman"/>
          <w:b/>
          <w:bCs/>
          <w:kern w:val="0"/>
          <w:sz w:val="32"/>
          <w:szCs w:val="32"/>
          <w:lang w:eastAsia="zh-CN"/>
        </w:rPr>
        <w:t>三是</w:t>
      </w:r>
      <w:r>
        <w:rPr>
          <w:rFonts w:hint="eastAsia" w:ascii="Times New Roman" w:hAnsi="Times New Roman" w:eastAsia="仿宋_GB2312" w:cs="Times New Roman"/>
          <w:kern w:val="0"/>
          <w:sz w:val="32"/>
          <w:szCs w:val="32"/>
          <w:lang w:eastAsia="zh-CN"/>
        </w:rPr>
        <w:t>因公出国（境）费用预算年初未安排，本年度也未发生因公出国（境）支出。</w:t>
      </w:r>
    </w:p>
    <w:p>
      <w:pPr>
        <w:autoSpaceDE w:val="0"/>
        <w:autoSpaceDN w:val="0"/>
        <w:adjustRightInd w:val="0"/>
        <w:spacing w:line="540" w:lineRule="exact"/>
        <w:ind w:firstLine="640" w:firstLineChars="200"/>
        <w:jc w:val="both"/>
        <w:rPr>
          <w:rFonts w:hint="eastAsia" w:ascii="仿宋_GB2312" w:hAnsi="仿宋_GB2312" w:eastAsia="仿宋_GB2312" w:cs="仿宋_GB2312"/>
          <w:kern w:val="0"/>
          <w:sz w:val="32"/>
          <w:szCs w:val="32"/>
        </w:rPr>
      </w:pPr>
      <w:r>
        <w:rPr>
          <w:rFonts w:hint="default" w:ascii="Times New Roman" w:hAnsi="Times New Roman" w:eastAsia="仿宋_GB2312" w:cs="Times New Roman"/>
          <w:kern w:val="0"/>
          <w:sz w:val="32"/>
          <w:szCs w:val="32"/>
        </w:rPr>
        <w:t>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年度“三公”经费</w:t>
      </w:r>
      <w:r>
        <w:rPr>
          <w:rFonts w:hint="default" w:ascii="Times New Roman" w:hAnsi="Times New Roman" w:eastAsia="仿宋_GB2312" w:cs="Times New Roman"/>
          <w:kern w:val="0"/>
          <w:sz w:val="32"/>
          <w:szCs w:val="32"/>
          <w:lang w:eastAsia="zh-CN"/>
        </w:rPr>
        <w:t>一般公共预算</w:t>
      </w:r>
      <w:r>
        <w:rPr>
          <w:rFonts w:hint="default" w:ascii="Times New Roman" w:hAnsi="Times New Roman" w:eastAsia="仿宋_GB2312" w:cs="Times New Roman"/>
          <w:kern w:val="0"/>
          <w:sz w:val="32"/>
          <w:szCs w:val="32"/>
        </w:rPr>
        <w:t>财政拨款支出决算数</w:t>
      </w:r>
      <w:r>
        <w:rPr>
          <w:rFonts w:hint="eastAsia" w:ascii="Times New Roman" w:hAnsi="Times New Roman" w:eastAsia="仿宋_GB2312" w:cs="Times New Roman"/>
          <w:kern w:val="0"/>
          <w:sz w:val="32"/>
          <w:szCs w:val="32"/>
          <w:lang w:eastAsia="zh-CN"/>
        </w:rPr>
        <w:t>与</w:t>
      </w:r>
      <w:r>
        <w:rPr>
          <w:rFonts w:hint="default" w:ascii="Times New Roman" w:hAnsi="Times New Roman" w:eastAsia="仿宋_GB2312" w:cs="Times New Roman"/>
          <w:kern w:val="0"/>
          <w:sz w:val="32"/>
          <w:szCs w:val="32"/>
        </w:rPr>
        <w:t>20</w:t>
      </w:r>
      <w:r>
        <w:rPr>
          <w:rFonts w:hint="eastAsia" w:ascii="Times New Roman" w:hAnsi="Times New Roman" w:eastAsia="仿宋_GB2312" w:cs="Times New Roman"/>
          <w:kern w:val="0"/>
          <w:sz w:val="32"/>
          <w:szCs w:val="32"/>
          <w:lang w:val="en-US" w:eastAsia="zh-CN"/>
        </w:rPr>
        <w:t>22</w:t>
      </w:r>
      <w:r>
        <w:rPr>
          <w:rFonts w:hint="default" w:ascii="Times New Roman" w:hAnsi="Times New Roman" w:eastAsia="仿宋_GB2312" w:cs="Times New Roman"/>
          <w:kern w:val="0"/>
          <w:sz w:val="32"/>
          <w:szCs w:val="32"/>
          <w:lang w:val="en-US" w:eastAsia="zh-CN"/>
        </w:rPr>
        <w:t>年度</w:t>
      </w:r>
      <w:r>
        <w:rPr>
          <w:rFonts w:hint="eastAsia" w:ascii="Times New Roman" w:hAnsi="Times New Roman" w:eastAsia="仿宋_GB2312" w:cs="Times New Roman"/>
          <w:kern w:val="0"/>
          <w:sz w:val="32"/>
          <w:szCs w:val="32"/>
          <w:lang w:val="en-US" w:eastAsia="zh-CN"/>
        </w:rPr>
        <w:t>一样都为0元。</w:t>
      </w:r>
      <w:r>
        <w:rPr>
          <w:rFonts w:hint="default" w:ascii="Times New Roman" w:hAnsi="Times New Roman" w:eastAsia="仿宋_GB2312" w:cs="Times New Roman"/>
          <w:kern w:val="0"/>
          <w:sz w:val="32"/>
          <w:szCs w:val="32"/>
        </w:rPr>
        <w:t>其中：因公出国（境）费支出决算增加</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公务用车购置及运行费支出决算增加</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元；公务接待费支出决算增加</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元；主要原因</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b/>
          <w:bCs/>
          <w:kern w:val="0"/>
          <w:sz w:val="32"/>
          <w:szCs w:val="32"/>
          <w:lang w:eastAsia="zh-CN"/>
        </w:rPr>
        <w:t>一是</w:t>
      </w:r>
      <w:r>
        <w:rPr>
          <w:rFonts w:hint="eastAsia" w:ascii="Times New Roman" w:hAnsi="Times New Roman" w:eastAsia="仿宋_GB2312" w:cs="Times New Roman"/>
          <w:kern w:val="0"/>
          <w:sz w:val="32"/>
          <w:szCs w:val="32"/>
          <w:lang w:val="en-US" w:eastAsia="zh-CN"/>
        </w:rPr>
        <w:t>2023年</w:t>
      </w:r>
      <w:r>
        <w:rPr>
          <w:rFonts w:hint="eastAsia" w:ascii="Times New Roman" w:hAnsi="Times New Roman" w:eastAsia="仿宋_GB2312" w:cs="Times New Roman"/>
          <w:kern w:val="0"/>
          <w:sz w:val="32"/>
          <w:szCs w:val="32"/>
          <w:lang w:eastAsia="zh-CN"/>
        </w:rPr>
        <w:t>公务用车改革后单位没有公务用车，故而不存在公务用车运行维护费用；</w:t>
      </w:r>
      <w:r>
        <w:rPr>
          <w:rFonts w:hint="eastAsia" w:ascii="Times New Roman" w:hAnsi="Times New Roman" w:eastAsia="仿宋_GB2312" w:cs="Times New Roman"/>
          <w:b/>
          <w:bCs/>
          <w:kern w:val="0"/>
          <w:sz w:val="32"/>
          <w:szCs w:val="32"/>
          <w:lang w:eastAsia="zh-CN"/>
        </w:rPr>
        <w:t>二是</w:t>
      </w:r>
      <w:r>
        <w:rPr>
          <w:rFonts w:hint="eastAsia" w:ascii="Times New Roman" w:hAnsi="Times New Roman" w:eastAsia="仿宋_GB2312" w:cs="Times New Roman"/>
          <w:kern w:val="0"/>
          <w:sz w:val="32"/>
          <w:szCs w:val="32"/>
          <w:lang w:eastAsia="zh-CN"/>
        </w:rPr>
        <w:t>由于公用经费紧张，</w:t>
      </w:r>
      <w:r>
        <w:rPr>
          <w:rFonts w:hint="eastAsia" w:ascii="Times New Roman" w:hAnsi="Times New Roman" w:eastAsia="仿宋_GB2312" w:cs="Times New Roman"/>
          <w:kern w:val="0"/>
          <w:sz w:val="32"/>
          <w:szCs w:val="32"/>
          <w:lang w:val="en-US" w:eastAsia="zh-CN"/>
        </w:rPr>
        <w:t>2023</w:t>
      </w:r>
      <w:r>
        <w:rPr>
          <w:rFonts w:hint="eastAsia" w:ascii="Times New Roman" w:hAnsi="Times New Roman" w:eastAsia="仿宋_GB2312" w:cs="Times New Roman"/>
          <w:kern w:val="0"/>
          <w:sz w:val="32"/>
          <w:szCs w:val="32"/>
          <w:lang w:eastAsia="zh-CN"/>
        </w:rPr>
        <w:t>年初也未安排公务接待费用预算，所以也未发生用财政拨款资金支出的公务接待费用；</w:t>
      </w:r>
      <w:r>
        <w:rPr>
          <w:rFonts w:hint="eastAsia" w:ascii="Times New Roman" w:hAnsi="Times New Roman" w:eastAsia="仿宋_GB2312" w:cs="Times New Roman"/>
          <w:b/>
          <w:bCs/>
          <w:kern w:val="0"/>
          <w:sz w:val="32"/>
          <w:szCs w:val="32"/>
          <w:lang w:eastAsia="zh-CN"/>
        </w:rPr>
        <w:t>三是</w:t>
      </w:r>
      <w:r>
        <w:rPr>
          <w:rFonts w:hint="eastAsia" w:ascii="Times New Roman" w:hAnsi="Times New Roman" w:eastAsia="仿宋_GB2312" w:cs="Times New Roman"/>
          <w:kern w:val="0"/>
          <w:sz w:val="32"/>
          <w:szCs w:val="32"/>
          <w:lang w:val="en-US" w:eastAsia="zh-CN"/>
        </w:rPr>
        <w:t>2023年度无</w:t>
      </w:r>
      <w:r>
        <w:rPr>
          <w:rFonts w:hint="eastAsia" w:ascii="Times New Roman" w:hAnsi="Times New Roman" w:eastAsia="仿宋_GB2312" w:cs="Times New Roman"/>
          <w:kern w:val="0"/>
          <w:sz w:val="32"/>
          <w:szCs w:val="32"/>
          <w:lang w:eastAsia="zh-CN"/>
        </w:rPr>
        <w:t>因公出国（境）费用的年初预算，</w:t>
      </w:r>
      <w:r>
        <w:rPr>
          <w:rFonts w:hint="eastAsia" w:ascii="Times New Roman" w:hAnsi="Times New Roman" w:eastAsia="仿宋_GB2312" w:cs="Times New Roman"/>
          <w:kern w:val="0"/>
          <w:sz w:val="32"/>
          <w:szCs w:val="32"/>
          <w:lang w:val="en-US" w:eastAsia="zh-CN"/>
        </w:rPr>
        <w:t>2023</w:t>
      </w:r>
      <w:r>
        <w:rPr>
          <w:rFonts w:hint="eastAsia" w:ascii="Times New Roman" w:hAnsi="Times New Roman" w:eastAsia="仿宋_GB2312" w:cs="Times New Roman"/>
          <w:kern w:val="0"/>
          <w:sz w:val="32"/>
          <w:szCs w:val="32"/>
          <w:lang w:eastAsia="zh-CN"/>
        </w:rPr>
        <w:t>年度也未发生因公出国（境）支出。</w:t>
      </w:r>
    </w:p>
    <w:p>
      <w:pPr>
        <w:pStyle w:val="11"/>
        <w:numPr>
          <w:ilvl w:val="0"/>
          <w:numId w:val="0"/>
        </w:numPr>
        <w:spacing w:line="540" w:lineRule="exact"/>
        <w:ind w:firstLine="642" w:firstLineChars="200"/>
        <w:rPr>
          <w:rFonts w:ascii="Times New Roman" w:hAnsi="Times New Roman" w:eastAsia="仿宋_GB2312" w:cs="Times New Roman"/>
          <w:b/>
          <w:sz w:val="32"/>
          <w:szCs w:val="32"/>
          <w:lang w:val="en-US" w:eastAsia="zh-CN"/>
        </w:rPr>
      </w:pPr>
      <w:r>
        <w:rPr>
          <w:rFonts w:hint="eastAsia" w:ascii="Times New Roman" w:hAnsi="Times New Roman" w:eastAsia="仿宋_GB2312" w:cs="Times New Roman"/>
          <w:b/>
          <w:color w:val="000000"/>
          <w:sz w:val="32"/>
          <w:szCs w:val="32"/>
          <w:lang w:val="en-US" w:eastAsia="zh-CN" w:bidi="ar-SA"/>
        </w:rPr>
        <w:t>（二）</w:t>
      </w:r>
      <w:r>
        <w:rPr>
          <w:rFonts w:ascii="Times New Roman" w:hAnsi="Times New Roman" w:eastAsia="仿宋_GB2312" w:cs="Times New Roman"/>
          <w:b/>
          <w:sz w:val="32"/>
          <w:szCs w:val="32"/>
          <w:lang w:val="en-US" w:eastAsia="zh-CN"/>
        </w:rPr>
        <w:t>“三公”经费</w:t>
      </w:r>
      <w:r>
        <w:rPr>
          <w:rFonts w:hint="eastAsia" w:ascii="Times New Roman" w:hAnsi="Times New Roman" w:eastAsia="仿宋_GB2312" w:cs="Times New Roman"/>
          <w:b/>
          <w:sz w:val="32"/>
          <w:szCs w:val="32"/>
          <w:lang w:val="en-US" w:eastAsia="zh-CN"/>
        </w:rPr>
        <w:t>一般公共预算</w:t>
      </w:r>
      <w:r>
        <w:rPr>
          <w:rFonts w:ascii="Times New Roman" w:hAnsi="Times New Roman" w:eastAsia="仿宋_GB2312" w:cs="Times New Roman"/>
          <w:b/>
          <w:sz w:val="32"/>
          <w:szCs w:val="32"/>
          <w:lang w:val="en-US" w:eastAsia="zh-CN"/>
        </w:rPr>
        <w:t>财政拨款支出决算具体情况说明。</w:t>
      </w:r>
    </w:p>
    <w:p>
      <w:pPr>
        <w:pStyle w:val="11"/>
        <w:spacing w:line="54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年度“三公”经费</w:t>
      </w:r>
      <w:r>
        <w:rPr>
          <w:rFonts w:hint="default" w:ascii="Times New Roman" w:hAnsi="Times New Roman" w:eastAsia="仿宋_GB2312" w:cs="Times New Roman"/>
          <w:color w:val="auto"/>
          <w:sz w:val="32"/>
          <w:szCs w:val="32"/>
          <w:lang w:eastAsia="zh-CN"/>
        </w:rPr>
        <w:t>一般公共预算</w:t>
      </w:r>
      <w:r>
        <w:rPr>
          <w:rFonts w:hint="default" w:ascii="Times New Roman" w:hAnsi="Times New Roman" w:eastAsia="仿宋_GB2312" w:cs="Times New Roman"/>
          <w:color w:val="auto"/>
          <w:sz w:val="32"/>
          <w:szCs w:val="32"/>
        </w:rPr>
        <w:t>财政拨款支出决算中，因公出国（境）费支出决算</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元，占</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%；公务用车购置及运行费支出决</w:t>
      </w:r>
      <w:r>
        <w:rPr>
          <w:rFonts w:hint="eastAsia" w:ascii="Times New Roman" w:hAnsi="Times New Roman" w:eastAsia="仿宋_GB2312" w:cs="Times New Roman"/>
          <w:color w:val="auto"/>
          <w:sz w:val="32"/>
          <w:szCs w:val="32"/>
          <w:lang w:eastAsia="zh-CN"/>
        </w:rPr>
        <w:t>算</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元，占</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%；公务接待费支出决算</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元，占</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%。具体情况如下：</w:t>
      </w:r>
    </w:p>
    <w:p>
      <w:pPr>
        <w:pStyle w:val="11"/>
        <w:spacing w:line="540" w:lineRule="exact"/>
        <w:ind w:firstLine="629" w:firstLineChars="196"/>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1.因公出国（境）费</w:t>
      </w:r>
      <w:r>
        <w:rPr>
          <w:rFonts w:hint="default" w:ascii="Times New Roman" w:hAnsi="Times New Roman" w:eastAsia="仿宋_GB2312" w:cs="Times New Roman"/>
          <w:b w:val="0"/>
          <w:bCs/>
          <w:color w:val="auto"/>
          <w:sz w:val="32"/>
          <w:szCs w:val="32"/>
          <w:lang w:eastAsia="zh-CN"/>
        </w:rPr>
        <w:t>预算为</w:t>
      </w:r>
      <w:r>
        <w:rPr>
          <w:rFonts w:hint="eastAsia" w:ascii="Times New Roman" w:hAnsi="Times New Roman" w:eastAsia="仿宋_GB2312" w:cs="Times New Roman"/>
          <w:b w:val="0"/>
          <w:bCs/>
          <w:color w:val="auto"/>
          <w:sz w:val="32"/>
          <w:szCs w:val="32"/>
          <w:lang w:val="en-US" w:eastAsia="zh-CN"/>
        </w:rPr>
        <w:t>0</w:t>
      </w:r>
      <w:r>
        <w:rPr>
          <w:rFonts w:hint="default" w:ascii="Times New Roman" w:hAnsi="Times New Roman" w:eastAsia="仿宋_GB2312" w:cs="Times New Roman"/>
          <w:b w:val="0"/>
          <w:bCs/>
          <w:color w:val="auto"/>
          <w:sz w:val="32"/>
          <w:szCs w:val="32"/>
        </w:rPr>
        <w:t>元</w:t>
      </w:r>
      <w:r>
        <w:rPr>
          <w:rFonts w:hint="default" w:ascii="Times New Roman" w:hAnsi="Times New Roman" w:eastAsia="仿宋_GB2312" w:cs="Times New Roman"/>
          <w:b w:val="0"/>
          <w:bCs/>
          <w:color w:val="auto"/>
          <w:sz w:val="32"/>
          <w:szCs w:val="32"/>
          <w:lang w:eastAsia="zh-CN"/>
        </w:rPr>
        <w:t>，</w:t>
      </w:r>
      <w:r>
        <w:rPr>
          <w:rFonts w:hint="default" w:ascii="Times New Roman" w:hAnsi="Times New Roman" w:eastAsia="仿宋_GB2312" w:cs="Times New Roman"/>
          <w:kern w:val="0"/>
          <w:sz w:val="32"/>
          <w:szCs w:val="32"/>
        </w:rPr>
        <w:t>支出决算为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元，完成预算的</w:t>
      </w:r>
      <w:r>
        <w:rPr>
          <w:rFonts w:hint="eastAsia" w:ascii="Times New Roman" w:hAnsi="Times New Roman" w:eastAsia="仿宋_GB2312" w:cs="Times New Roman"/>
          <w:kern w:val="0"/>
          <w:sz w:val="32"/>
          <w:szCs w:val="32"/>
          <w:lang w:val="en-US" w:eastAsia="zh-CN"/>
        </w:rPr>
        <w:t>100</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年度</w:t>
      </w:r>
      <w:r>
        <w:rPr>
          <w:rFonts w:hint="default" w:ascii="Times New Roman" w:hAnsi="Times New Roman" w:eastAsia="仿宋_GB2312" w:cs="Times New Roman"/>
          <w:color w:val="auto"/>
          <w:sz w:val="32"/>
          <w:szCs w:val="32"/>
        </w:rPr>
        <w:t>因公出国（境）团组数</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个，因公出国（境）人次数</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人</w:t>
      </w:r>
      <w:r>
        <w:rPr>
          <w:rFonts w:hint="default" w:ascii="Times New Roman" w:hAnsi="Times New Roman" w:eastAsia="仿宋_GB2312" w:cs="Times New Roman"/>
          <w:color w:val="auto"/>
          <w:sz w:val="32"/>
          <w:szCs w:val="32"/>
          <w:lang w:eastAsia="zh-CN"/>
        </w:rPr>
        <w:t>次</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 xml:space="preserve"> </w:t>
      </w:r>
    </w:p>
    <w:p>
      <w:pPr>
        <w:autoSpaceDE w:val="0"/>
        <w:autoSpaceDN w:val="0"/>
        <w:adjustRightInd w:val="0"/>
        <w:spacing w:line="540" w:lineRule="exact"/>
        <w:ind w:firstLine="629" w:firstLineChars="196"/>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2.公务用车购置及运行维护费</w:t>
      </w:r>
      <w:r>
        <w:rPr>
          <w:rFonts w:hint="default" w:ascii="Times New Roman" w:hAnsi="Times New Roman" w:eastAsia="仿宋_GB2312" w:cs="Times New Roman"/>
          <w:kern w:val="0"/>
          <w:sz w:val="32"/>
          <w:szCs w:val="32"/>
          <w:lang w:eastAsia="zh-CN"/>
        </w:rPr>
        <w:t>预算为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元，支出决算为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元，完成预算的</w:t>
      </w:r>
      <w:r>
        <w:rPr>
          <w:rFonts w:hint="eastAsia" w:ascii="Times New Roman" w:hAnsi="Times New Roman" w:eastAsia="仿宋_GB2312" w:cs="Times New Roman"/>
          <w:kern w:val="0"/>
          <w:sz w:val="32"/>
          <w:szCs w:val="32"/>
          <w:lang w:val="en-US" w:eastAsia="zh-CN"/>
        </w:rPr>
        <w:t>100</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
          <w:kern w:val="0"/>
          <w:sz w:val="32"/>
          <w:szCs w:val="32"/>
        </w:rPr>
        <w:t>。</w:t>
      </w:r>
      <w:r>
        <w:rPr>
          <w:rFonts w:hint="default" w:ascii="Times New Roman" w:hAnsi="Times New Roman" w:eastAsia="仿宋_GB2312" w:cs="Times New Roman"/>
          <w:kern w:val="0"/>
          <w:sz w:val="32"/>
          <w:szCs w:val="32"/>
        </w:rPr>
        <w:t>其中：公务用车购置费支出为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元，公务用车运行维护费支出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w:t>
      </w:r>
      <w:r>
        <w:rPr>
          <w:rFonts w:hint="default" w:ascii="Times New Roman" w:hAnsi="Times New Roman" w:eastAsia="仿宋_GB2312" w:cs="Times New Roman"/>
          <w:kern w:val="0"/>
          <w:sz w:val="32"/>
          <w:szCs w:val="32"/>
          <w:lang w:eastAsia="zh-CN"/>
        </w:rPr>
        <w:t>度一般公共预算</w:t>
      </w:r>
      <w:r>
        <w:rPr>
          <w:rFonts w:hint="default" w:ascii="Times New Roman" w:hAnsi="Times New Roman" w:eastAsia="仿宋_GB2312" w:cs="Times New Roman"/>
          <w:kern w:val="0"/>
          <w:sz w:val="32"/>
          <w:szCs w:val="32"/>
        </w:rPr>
        <w:t>财政拨款开支的公务用车购置数</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辆，公务用车保有量为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 xml:space="preserve">辆。 </w:t>
      </w:r>
    </w:p>
    <w:p>
      <w:pPr>
        <w:autoSpaceDE w:val="0"/>
        <w:autoSpaceDN w:val="0"/>
        <w:adjustRightInd w:val="0"/>
        <w:spacing w:line="540" w:lineRule="exact"/>
        <w:ind w:firstLine="629" w:firstLineChars="196"/>
        <w:jc w:val="left"/>
        <w:rPr>
          <w:rFonts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kern w:val="0"/>
          <w:sz w:val="32"/>
          <w:szCs w:val="32"/>
        </w:rPr>
        <w:t>3.公务接待费</w:t>
      </w:r>
      <w:r>
        <w:rPr>
          <w:rFonts w:hint="default" w:ascii="Times New Roman" w:hAnsi="Times New Roman" w:eastAsia="仿宋_GB2312" w:cs="Times New Roman"/>
          <w:b w:val="0"/>
          <w:bCs/>
          <w:kern w:val="0"/>
          <w:sz w:val="32"/>
          <w:szCs w:val="32"/>
          <w:lang w:eastAsia="zh-CN"/>
        </w:rPr>
        <w:t>预算为</w:t>
      </w:r>
      <w:r>
        <w:rPr>
          <w:rFonts w:hint="eastAsia" w:ascii="Times New Roman" w:hAnsi="Times New Roman" w:eastAsia="仿宋_GB2312" w:cs="Times New Roman"/>
          <w:b w:val="0"/>
          <w:bCs/>
          <w:kern w:val="0"/>
          <w:sz w:val="32"/>
          <w:szCs w:val="32"/>
          <w:lang w:val="en-US" w:eastAsia="zh-CN"/>
        </w:rPr>
        <w:t>0</w:t>
      </w:r>
      <w:r>
        <w:rPr>
          <w:rFonts w:hint="default" w:ascii="Times New Roman" w:hAnsi="Times New Roman" w:eastAsia="仿宋_GB2312" w:cs="Times New Roman"/>
          <w:b w:val="0"/>
          <w:bCs/>
          <w:kern w:val="0"/>
          <w:sz w:val="32"/>
          <w:szCs w:val="32"/>
        </w:rPr>
        <w:t>元</w:t>
      </w:r>
      <w:r>
        <w:rPr>
          <w:rFonts w:hint="default" w:ascii="Times New Roman" w:hAnsi="Times New Roman" w:eastAsia="仿宋_GB2312" w:cs="Times New Roman"/>
          <w:b w:val="0"/>
          <w:bCs/>
          <w:kern w:val="0"/>
          <w:sz w:val="32"/>
          <w:szCs w:val="32"/>
          <w:lang w:eastAsia="zh-CN"/>
        </w:rPr>
        <w:t>，</w:t>
      </w:r>
      <w:r>
        <w:rPr>
          <w:rFonts w:hint="default" w:ascii="Times New Roman" w:hAnsi="Times New Roman" w:eastAsia="仿宋_GB2312" w:cs="Times New Roman"/>
          <w:kern w:val="0"/>
          <w:sz w:val="32"/>
          <w:szCs w:val="32"/>
        </w:rPr>
        <w:t>支出决算为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元，完成预算的</w:t>
      </w:r>
      <w:r>
        <w:rPr>
          <w:rFonts w:hint="eastAsia" w:ascii="Times New Roman" w:hAnsi="Times New Roman" w:eastAsia="仿宋_GB2312" w:cs="Times New Roman"/>
          <w:kern w:val="0"/>
          <w:sz w:val="32"/>
          <w:szCs w:val="32"/>
          <w:lang w:val="en-US" w:eastAsia="zh-CN"/>
        </w:rPr>
        <w:t>100</w:t>
      </w:r>
      <w:r>
        <w:rPr>
          <w:rFonts w:hint="default" w:ascii="Times New Roman" w:hAnsi="Times New Roman" w:eastAsia="仿宋_GB2312" w:cs="Times New Roman"/>
          <w:kern w:val="0"/>
          <w:sz w:val="32"/>
          <w:szCs w:val="32"/>
        </w:rPr>
        <w:t>%。其中： 国内接待费支出</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元。20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年</w:t>
      </w:r>
      <w:r>
        <w:rPr>
          <w:rFonts w:hint="default" w:ascii="Times New Roman" w:hAnsi="Times New Roman" w:eastAsia="仿宋_GB2312" w:cs="Times New Roman"/>
          <w:kern w:val="0"/>
          <w:sz w:val="32"/>
          <w:szCs w:val="32"/>
          <w:lang w:eastAsia="zh-CN"/>
        </w:rPr>
        <w:t>度</w:t>
      </w:r>
      <w:r>
        <w:rPr>
          <w:rFonts w:hint="default" w:ascii="Times New Roman" w:hAnsi="Times New Roman" w:eastAsia="仿宋_GB2312" w:cs="Times New Roman"/>
          <w:kern w:val="0"/>
          <w:sz w:val="32"/>
          <w:szCs w:val="32"/>
        </w:rPr>
        <w:t>国内公务接待批次</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个，国内公务接待人次</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人，国（境）外公务接待批次</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个，国（境）外公务接待人次</w:t>
      </w:r>
      <w:r>
        <w:rPr>
          <w:rFonts w:hint="eastAsia" w:ascii="Times New Roman" w:hAnsi="Times New Roman" w:eastAsia="仿宋_GB2312" w:cs="Times New Roman"/>
          <w:kern w:val="0"/>
          <w:sz w:val="32"/>
          <w:szCs w:val="32"/>
          <w:lang w:val="en-US" w:eastAsia="zh-CN"/>
        </w:rPr>
        <w:t>0</w:t>
      </w:r>
      <w:r>
        <w:rPr>
          <w:rFonts w:hint="default" w:ascii="Times New Roman" w:hAnsi="Times New Roman" w:eastAsia="仿宋_GB2312" w:cs="Times New Roman"/>
          <w:kern w:val="0"/>
          <w:sz w:val="32"/>
          <w:szCs w:val="32"/>
        </w:rPr>
        <w:t>人。</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1"/>
        <w:rPr>
          <w:rFonts w:ascii="Times New Roman" w:hAnsi="Times New Roman" w:eastAsia="楷体_GB2312" w:cs="Times New Roman"/>
          <w:b/>
          <w:bCs/>
          <w:kern w:val="0"/>
          <w:sz w:val="32"/>
          <w:szCs w:val="32"/>
          <w:lang w:val="en-US" w:eastAsia="zh-CN"/>
        </w:rPr>
      </w:pPr>
      <w:r>
        <w:rPr>
          <w:rFonts w:hint="eastAsia" w:ascii="Times New Roman" w:hAnsi="Times New Roman" w:eastAsia="楷体_GB2312" w:cs="Times New Roman"/>
          <w:b/>
          <w:bCs/>
          <w:kern w:val="0"/>
          <w:sz w:val="32"/>
          <w:szCs w:val="32"/>
          <w:lang w:val="en-US" w:eastAsia="zh-CN"/>
        </w:rPr>
        <w:t>八、政府性基金预算财政拨款收入支出决算情况说明</w:t>
      </w:r>
    </w:p>
    <w:p>
      <w:pPr>
        <w:pStyle w:val="11"/>
        <w:keepLines w:val="0"/>
        <w:pageBreakBefore w:val="0"/>
        <w:kinsoku/>
        <w:wordWrap/>
        <w:overflowPunct/>
        <w:topLinePunct w:val="0"/>
        <w:bidi w:val="0"/>
        <w:snapToGrid/>
        <w:spacing w:line="540" w:lineRule="exact"/>
        <w:ind w:firstLine="640" w:firstLineChars="200"/>
        <w:textAlignment w:val="auto"/>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color w:val="auto"/>
          <w:sz w:val="32"/>
          <w:szCs w:val="32"/>
          <w:lang w:val="en-US" w:eastAsia="zh-CN"/>
        </w:rPr>
        <w:t>2023年度政府性基金预算财政拨款本年收入</w:t>
      </w:r>
      <w:r>
        <w:rPr>
          <w:rFonts w:hint="eastAsia" w:ascii="仿宋" w:hAnsi="仿宋" w:eastAsia="仿宋" w:cs="仿宋_GB2312"/>
          <w:sz w:val="32"/>
          <w:szCs w:val="32"/>
          <w:lang w:val="en-US" w:eastAsia="zh-CN"/>
        </w:rPr>
        <w:t>5037857.20</w:t>
      </w:r>
      <w:r>
        <w:rPr>
          <w:rFonts w:ascii="Times New Roman" w:hAnsi="Times New Roman" w:eastAsia="仿宋_GB2312" w:cs="Times New Roman"/>
          <w:color w:val="auto"/>
          <w:sz w:val="32"/>
          <w:szCs w:val="32"/>
          <w:lang w:val="en-US" w:eastAsia="zh-CN"/>
        </w:rPr>
        <w:t>元，本年支出</w:t>
      </w:r>
      <w:r>
        <w:rPr>
          <w:rFonts w:hint="eastAsia" w:ascii="仿宋" w:hAnsi="仿宋" w:eastAsia="仿宋" w:cs="仿宋_GB2312"/>
          <w:sz w:val="32"/>
          <w:szCs w:val="32"/>
          <w:lang w:val="en-US" w:eastAsia="zh-CN"/>
        </w:rPr>
        <w:t>5037857.20</w:t>
      </w:r>
      <w:r>
        <w:rPr>
          <w:rFonts w:ascii="Times New Roman" w:hAnsi="Times New Roman" w:eastAsia="仿宋_GB2312" w:cs="Times New Roman"/>
          <w:color w:val="auto"/>
          <w:sz w:val="32"/>
          <w:szCs w:val="32"/>
          <w:lang w:val="en-US" w:eastAsia="zh-CN"/>
        </w:rPr>
        <w:t>元，年末结转和结余</w:t>
      </w:r>
      <w:r>
        <w:rPr>
          <w:rFonts w:hint="eastAsia" w:ascii="仿宋" w:hAnsi="仿宋" w:eastAsia="仿宋" w:cs="仿宋_GB2312"/>
          <w:sz w:val="32"/>
          <w:szCs w:val="32"/>
          <w:lang w:val="en-US" w:eastAsia="zh-CN"/>
        </w:rPr>
        <w:t>0.00</w:t>
      </w:r>
      <w:r>
        <w:rPr>
          <w:rFonts w:ascii="Times New Roman" w:hAnsi="Times New Roman" w:eastAsia="仿宋_GB2312" w:cs="Times New Roman"/>
          <w:color w:val="auto"/>
          <w:sz w:val="32"/>
          <w:szCs w:val="32"/>
          <w:lang w:val="en-US" w:eastAsia="zh-CN"/>
        </w:rPr>
        <w:t>元。较2022年度决算数</w:t>
      </w:r>
      <w:r>
        <w:rPr>
          <w:rFonts w:hint="eastAsia" w:ascii="仿宋" w:hAnsi="仿宋" w:eastAsia="仿宋" w:cs="仿宋_GB2312"/>
          <w:sz w:val="32"/>
          <w:szCs w:val="32"/>
          <w:lang w:val="en-US" w:eastAsia="zh-CN"/>
        </w:rPr>
        <w:t>减少1035086.80元,下降17.04 %</w:t>
      </w:r>
      <w:r>
        <w:rPr>
          <w:rFonts w:ascii="Times New Roman" w:hAnsi="Times New Roman" w:eastAsia="仿宋_GB2312" w:cs="Times New Roman"/>
          <w:color w:val="auto"/>
          <w:sz w:val="32"/>
          <w:szCs w:val="32"/>
          <w:lang w:val="en-US" w:eastAsia="zh-CN"/>
        </w:rPr>
        <w:t>，主要原因是：</w:t>
      </w:r>
      <w:r>
        <w:rPr>
          <w:rFonts w:hint="eastAsia" w:ascii="仿宋" w:hAnsi="仿宋" w:eastAsia="仿宋"/>
          <w:sz w:val="32"/>
          <w:szCs w:val="32"/>
          <w:lang w:val="en-US" w:eastAsia="zh-CN"/>
        </w:rPr>
        <w:t>我镇2023年征地补偿款减少。</w:t>
      </w:r>
    </w:p>
    <w:p>
      <w:pPr>
        <w:spacing w:line="600" w:lineRule="exact"/>
        <w:ind w:firstLine="640" w:firstLineChars="200"/>
        <w:jc w:val="both"/>
        <w:rPr>
          <w:rFonts w:hint="eastAsia" w:ascii="仿宋" w:hAnsi="仿宋" w:eastAsia="仿宋"/>
          <w:sz w:val="32"/>
          <w:szCs w:val="32"/>
          <w:lang w:val="en-US" w:eastAsia="zh-CN"/>
        </w:rPr>
      </w:pPr>
      <w:r>
        <w:rPr>
          <w:rFonts w:hint="eastAsia" w:ascii="仿宋" w:hAnsi="仿宋" w:eastAsia="仿宋" w:cs="仿宋_GB2312"/>
          <w:sz w:val="32"/>
          <w:szCs w:val="32"/>
          <w:lang w:val="en-US" w:eastAsia="zh-CN"/>
        </w:rPr>
        <w:t>(一)2120801|征地和拆迁补偿支出本年支出5037857.20元，较上年决算数减少1035086.80元，下降17.04%，主要原因是：我镇2023年征地补偿款减少。</w:t>
      </w:r>
    </w:p>
    <w:p>
      <w:pPr>
        <w:pStyle w:val="11"/>
        <w:keepLines w:val="0"/>
        <w:pageBreakBefore w:val="0"/>
        <w:numPr>
          <w:ilvl w:val="0"/>
          <w:numId w:val="0"/>
        </w:numPr>
        <w:kinsoku/>
        <w:wordWrap/>
        <w:overflowPunct/>
        <w:topLinePunct w:val="0"/>
        <w:bidi w:val="0"/>
        <w:snapToGrid/>
        <w:spacing w:line="540" w:lineRule="exact"/>
        <w:ind w:firstLine="642" w:firstLineChars="200"/>
        <w:textAlignment w:val="auto"/>
        <w:outlineLvl w:val="1"/>
        <w:rPr>
          <w:rFonts w:ascii="Times New Roman" w:hAnsi="Times New Roman" w:eastAsia="楷体_GB2312" w:cs="Times New Roman"/>
          <w:b/>
          <w:bCs/>
          <w:color w:val="auto"/>
          <w:kern w:val="0"/>
          <w:sz w:val="32"/>
          <w:szCs w:val="32"/>
          <w:lang w:val="en-US" w:eastAsia="zh-CN" w:bidi="ar-SA"/>
        </w:rPr>
      </w:pPr>
      <w:r>
        <w:rPr>
          <w:rFonts w:hint="eastAsia" w:ascii="Times New Roman" w:hAnsi="Times New Roman" w:eastAsia="楷体_GB2312" w:cs="Times New Roman"/>
          <w:b/>
          <w:bCs/>
          <w:kern w:val="0"/>
          <w:sz w:val="32"/>
          <w:szCs w:val="32"/>
          <w:lang w:val="en-US" w:eastAsia="zh-CN"/>
        </w:rPr>
        <w:t>九、国有资本经营预算财政拨款支出情况说明</w:t>
      </w:r>
    </w:p>
    <w:p>
      <w:pPr>
        <w:pStyle w:val="11"/>
        <w:keepLines w:val="0"/>
        <w:pageBreakBefore w:val="0"/>
        <w:numPr>
          <w:ilvl w:val="0"/>
          <w:numId w:val="0"/>
        </w:numPr>
        <w:kinsoku/>
        <w:wordWrap/>
        <w:overflowPunct/>
        <w:topLinePunct w:val="0"/>
        <w:bidi w:val="0"/>
        <w:snapToGrid/>
        <w:spacing w:line="540" w:lineRule="exact"/>
        <w:ind w:firstLine="640"/>
        <w:textAlignment w:val="auto"/>
        <w:rPr>
          <w:rFonts w:ascii="Times New Roman" w:hAnsi="Times New Roman" w:eastAsia="仿宋_GB2312" w:cs="Times New Roman"/>
          <w:color w:val="auto"/>
          <w:sz w:val="32"/>
          <w:szCs w:val="32"/>
          <w:lang w:val="en-US" w:eastAsia="zh-CN"/>
        </w:rPr>
      </w:pPr>
      <w:r>
        <w:rPr>
          <w:rFonts w:ascii="Times New Roman" w:hAnsi="Times New Roman" w:eastAsia="仿宋_GB2312" w:cs="Times New Roman"/>
          <w:color w:val="auto"/>
          <w:sz w:val="32"/>
          <w:szCs w:val="32"/>
          <w:lang w:val="en-US" w:eastAsia="zh-CN"/>
        </w:rPr>
        <w:t>2023年度国有资本经营预算财政拨款本年收入</w:t>
      </w:r>
      <w:r>
        <w:rPr>
          <w:rFonts w:hint="eastAsia" w:ascii="仿宋" w:hAnsi="仿宋" w:eastAsia="仿宋" w:cs="仿宋_GB2312"/>
          <w:sz w:val="32"/>
          <w:szCs w:val="32"/>
          <w:lang w:val="en-US" w:eastAsia="zh-CN"/>
        </w:rPr>
        <w:t>0.00</w:t>
      </w:r>
      <w:r>
        <w:rPr>
          <w:rFonts w:ascii="Times New Roman" w:hAnsi="Times New Roman" w:eastAsia="仿宋_GB2312" w:cs="Times New Roman"/>
          <w:color w:val="auto"/>
          <w:sz w:val="32"/>
          <w:szCs w:val="32"/>
          <w:lang w:val="en-US" w:eastAsia="zh-CN"/>
        </w:rPr>
        <w:t>元，支出</w:t>
      </w:r>
      <w:r>
        <w:rPr>
          <w:rFonts w:hint="eastAsia" w:ascii="仿宋" w:hAnsi="仿宋" w:eastAsia="仿宋" w:cs="仿宋_GB2312"/>
          <w:sz w:val="32"/>
          <w:szCs w:val="32"/>
          <w:lang w:val="en-US" w:eastAsia="zh-CN"/>
        </w:rPr>
        <w:t>0.00</w:t>
      </w:r>
      <w:r>
        <w:rPr>
          <w:rFonts w:ascii="Times New Roman" w:hAnsi="Times New Roman" w:eastAsia="仿宋_GB2312" w:cs="Times New Roman"/>
          <w:color w:val="auto"/>
          <w:sz w:val="32"/>
          <w:szCs w:val="32"/>
          <w:lang w:val="en-US" w:eastAsia="zh-CN"/>
        </w:rPr>
        <w:t>元，年末结转和结余</w:t>
      </w:r>
      <w:r>
        <w:rPr>
          <w:rFonts w:hint="eastAsia" w:ascii="仿宋" w:hAnsi="仿宋" w:eastAsia="仿宋" w:cs="仿宋_GB2312"/>
          <w:sz w:val="32"/>
          <w:szCs w:val="32"/>
          <w:lang w:val="en-US" w:eastAsia="zh-CN"/>
        </w:rPr>
        <w:t>0</w:t>
      </w:r>
      <w:r>
        <w:rPr>
          <w:rFonts w:ascii="Times New Roman" w:hAnsi="Times New Roman" w:eastAsia="仿宋_GB2312" w:cs="Times New Roman"/>
          <w:color w:val="auto"/>
          <w:sz w:val="32"/>
          <w:szCs w:val="32"/>
          <w:lang w:val="en-US" w:eastAsia="zh-CN"/>
        </w:rPr>
        <w:t>元。较2022年度决算数</w:t>
      </w:r>
      <w:r>
        <w:rPr>
          <w:rFonts w:hint="eastAsia" w:ascii="仿宋" w:hAnsi="仿宋" w:eastAsia="仿宋" w:cs="仿宋_GB2312"/>
          <w:sz w:val="32"/>
          <w:szCs w:val="32"/>
          <w:lang w:val="en-US" w:eastAsia="zh-CN"/>
        </w:rPr>
        <w:t>持平</w:t>
      </w:r>
      <w:r>
        <w:rPr>
          <w:rFonts w:ascii="Times New Roman" w:hAnsi="Times New Roman" w:eastAsia="仿宋_GB2312" w:cs="Times New Roman"/>
          <w:color w:val="auto"/>
          <w:sz w:val="32"/>
          <w:szCs w:val="32"/>
          <w:lang w:val="en-US" w:eastAsia="zh-CN"/>
        </w:rPr>
        <w:t>，主要原因是：</w:t>
      </w:r>
      <w:r>
        <w:rPr>
          <w:rFonts w:hint="eastAsia" w:ascii="仿宋" w:hAnsi="仿宋" w:eastAsia="仿宋"/>
          <w:sz w:val="32"/>
          <w:szCs w:val="32"/>
          <w:lang w:val="en-US" w:eastAsia="zh-CN"/>
        </w:rPr>
        <w:t>我镇无国有资本经营收入。</w:t>
      </w:r>
    </w:p>
    <w:p>
      <w:pPr>
        <w:pStyle w:val="2"/>
        <w:keepNext/>
        <w:keepLines w:val="0"/>
        <w:pageBreakBefore w:val="0"/>
        <w:widowControl w:val="0"/>
        <w:kinsoku/>
        <w:wordWrap/>
        <w:overflowPunct/>
        <w:topLinePunct w:val="0"/>
        <w:autoSpaceDE/>
        <w:autoSpaceDN/>
        <w:bidi w:val="0"/>
        <w:adjustRightInd/>
        <w:snapToGrid/>
        <w:spacing w:before="0" w:beforeLines="0" w:after="0" w:afterLines="0" w:line="413" w:lineRule="auto"/>
        <w:ind w:firstLine="642" w:firstLineChars="200"/>
        <w:jc w:val="both"/>
        <w:textAlignment w:val="auto"/>
        <w:rPr>
          <w:rFonts w:ascii="Times New Roman" w:hAnsi="Times New Roman" w:eastAsia="楷体_GB2312" w:cs="Times New Roman"/>
          <w:bCs/>
          <w:kern w:val="0"/>
          <w:sz w:val="32"/>
          <w:szCs w:val="32"/>
          <w:lang w:val="en-US" w:eastAsia="zh-CN" w:bidi="ar-SA"/>
        </w:rPr>
      </w:pPr>
      <w:r>
        <w:rPr>
          <w:rFonts w:hint="eastAsia" w:ascii="Times New Roman" w:hAnsi="Times New Roman" w:eastAsia="楷体_GB2312" w:cs="Times New Roman"/>
          <w:bCs/>
          <w:kern w:val="0"/>
          <w:sz w:val="32"/>
          <w:szCs w:val="32"/>
          <w:lang w:val="en-US" w:eastAsia="zh-CN"/>
        </w:rPr>
        <w:t>十、其他重要事项的情况说明</w:t>
      </w:r>
    </w:p>
    <w:p>
      <w:pPr>
        <w:keepLines w:val="0"/>
        <w:pageBreakBefore w:val="0"/>
        <w:widowControl w:val="0"/>
        <w:kinsoku/>
        <w:wordWrap/>
        <w:overflowPunct/>
        <w:topLinePunct w:val="0"/>
        <w:autoSpaceDE/>
        <w:autoSpaceDN/>
        <w:bidi w:val="0"/>
        <w:adjustRightInd/>
        <w:snapToGrid/>
        <w:spacing w:line="540" w:lineRule="exact"/>
        <w:ind w:firstLine="642" w:firstLineChars="200"/>
        <w:jc w:val="both"/>
        <w:textAlignment w:val="auto"/>
        <w:outlineLvl w:val="9"/>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b/>
          <w:kern w:val="0"/>
          <w:sz w:val="32"/>
          <w:szCs w:val="32"/>
          <w:lang w:val="en-US" w:eastAsia="zh-CN"/>
        </w:rPr>
        <w:t>（一）机关运行经费支出情况说明</w:t>
      </w:r>
    </w:p>
    <w:p>
      <w:pPr>
        <w:keepLines w:val="0"/>
        <w:pageBreakBefore w:val="0"/>
        <w:kinsoku/>
        <w:wordWrap/>
        <w:overflowPunct/>
        <w:topLinePunct w:val="0"/>
        <w:bidi w:val="0"/>
        <w:snapToGrid/>
        <w:spacing w:line="540" w:lineRule="exact"/>
        <w:ind w:firstLine="640" w:firstLineChars="200"/>
        <w:jc w:val="both"/>
        <w:textAlignment w:val="auto"/>
        <w:outlineLvl w:val="9"/>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2023年度本部门机关运行经费支出</w:t>
      </w:r>
      <w:r>
        <w:rPr>
          <w:rFonts w:hint="eastAsia" w:ascii="仿宋" w:hAnsi="仿宋" w:eastAsia="仿宋" w:cs="仿宋_GB2312"/>
          <w:sz w:val="32"/>
          <w:szCs w:val="32"/>
          <w:lang w:val="en-US" w:eastAsia="zh-CN"/>
        </w:rPr>
        <w:t>466278.33</w:t>
      </w:r>
      <w:r>
        <w:rPr>
          <w:rFonts w:ascii="Times New Roman" w:hAnsi="Times New Roman" w:eastAsia="仿宋_GB2312" w:cs="Times New Roman"/>
          <w:kern w:val="0"/>
          <w:sz w:val="32"/>
          <w:szCs w:val="32"/>
          <w:lang w:val="en-US" w:eastAsia="zh-CN"/>
        </w:rPr>
        <w:t>元</w:t>
      </w:r>
      <w:r>
        <w:rPr>
          <w:rFonts w:ascii="Times New Roman" w:hAnsi="Times New Roman" w:eastAsia="仿宋_GB2312" w:cs="Times New Roman"/>
          <w:color w:val="000000"/>
          <w:sz w:val="30"/>
          <w:lang w:val="en-US" w:eastAsia="zh-CN"/>
        </w:rPr>
        <w:t>，</w:t>
      </w:r>
      <w:r>
        <w:rPr>
          <w:rFonts w:ascii="Times New Roman" w:hAnsi="Times New Roman" w:eastAsia="仿宋_GB2312" w:cs="Times New Roman"/>
          <w:kern w:val="0"/>
          <w:sz w:val="32"/>
          <w:szCs w:val="32"/>
          <w:lang w:val="en-US" w:eastAsia="zh-CN"/>
        </w:rPr>
        <w:t>比2022年度</w:t>
      </w:r>
      <w:r>
        <w:rPr>
          <w:rFonts w:hint="eastAsia" w:ascii="仿宋" w:hAnsi="仿宋" w:eastAsia="仿宋" w:cs="仿宋_GB2312"/>
          <w:sz w:val="32"/>
          <w:szCs w:val="32"/>
          <w:lang w:val="en-US" w:eastAsia="zh-CN"/>
        </w:rPr>
        <w:t>减少196846.67元,下降29.68 %</w:t>
      </w:r>
      <w:r>
        <w:rPr>
          <w:rFonts w:ascii="Times New Roman" w:hAnsi="Times New Roman" w:eastAsia="仿宋_GB2312" w:cs="Times New Roman"/>
          <w:kern w:val="0"/>
          <w:sz w:val="32"/>
          <w:szCs w:val="32"/>
          <w:lang w:val="en-US" w:eastAsia="zh-CN"/>
        </w:rPr>
        <w:t>。主要原因是：</w:t>
      </w:r>
      <w:r>
        <w:rPr>
          <w:rFonts w:hint="eastAsia" w:ascii="仿宋" w:hAnsi="仿宋" w:eastAsia="仿宋"/>
          <w:sz w:val="32"/>
          <w:szCs w:val="32"/>
          <w:lang w:val="en-US" w:eastAsia="zh-CN"/>
        </w:rPr>
        <w:t>我镇2023年执行中央过紧日子要求，缩减办公经费。</w:t>
      </w:r>
    </w:p>
    <w:p>
      <w:pPr>
        <w:keepLines w:val="0"/>
        <w:pageBreakBefore w:val="0"/>
        <w:kinsoku/>
        <w:wordWrap/>
        <w:overflowPunct/>
        <w:topLinePunct w:val="0"/>
        <w:bidi w:val="0"/>
        <w:snapToGrid/>
        <w:spacing w:line="540" w:lineRule="exact"/>
        <w:ind w:firstLine="642" w:firstLineChars="200"/>
        <w:jc w:val="both"/>
        <w:textAlignment w:val="auto"/>
        <w:outlineLvl w:val="9"/>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b/>
          <w:kern w:val="0"/>
          <w:sz w:val="32"/>
          <w:szCs w:val="32"/>
          <w:lang w:val="en-US" w:eastAsia="zh-CN"/>
        </w:rPr>
        <w:t>（二）政府采购情况说明</w:t>
      </w:r>
    </w:p>
    <w:p>
      <w:pPr>
        <w:keepNext w:val="0"/>
        <w:keepLines w:val="0"/>
        <w:pageBreakBefore w:val="0"/>
        <w:widowControl/>
        <w:kinsoku/>
        <w:wordWrap/>
        <w:overflowPunct/>
        <w:topLinePunct w:val="0"/>
        <w:bidi w:val="0"/>
        <w:snapToGrid/>
        <w:spacing w:line="540" w:lineRule="exact"/>
        <w:ind w:right="0" w:rightChars="0" w:firstLine="640" w:firstLineChars="200"/>
        <w:jc w:val="left"/>
        <w:textAlignment w:val="auto"/>
        <w:rPr>
          <w:rFonts w:hint="eastAsia"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2023年度本部门政府采购支出总额</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元。其中：政府采购货物支出</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lang w:val="en-US" w:eastAsia="zh-CN"/>
        </w:rPr>
        <w:t>政府采购工程支出</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lang w:val="en-US" w:eastAsia="zh-CN"/>
        </w:rPr>
        <w:t>政府采购服务支出</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元。授予中小企业合同金额</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lang w:val="en-US" w:eastAsia="zh-CN"/>
        </w:rPr>
        <w:t>占政府采购支出总额的</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%，其中：授予小微企业合同金额</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元，占授予中小企业合同金额的</w:t>
      </w:r>
      <w:r>
        <w:rPr>
          <w:rFonts w:hint="eastAsia" w:ascii="仿宋" w:hAnsi="仿宋" w:eastAsia="仿宋" w:cs="仿宋_GB2312"/>
          <w:sz w:val="32"/>
          <w:szCs w:val="32"/>
          <w:lang w:val="en-US" w:eastAsia="zh-CN"/>
        </w:rPr>
        <w:t>0.00</w:t>
      </w:r>
      <w:r>
        <w:rPr>
          <w:rFonts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80" w:lineRule="exact"/>
        <w:ind w:left="0" w:leftChars="0" w:right="0" w:rightChars="0" w:firstLine="642" w:firstLineChars="200"/>
        <w:jc w:val="both"/>
        <w:textAlignment w:val="auto"/>
        <w:outlineLvl w:val="9"/>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b/>
          <w:kern w:val="0"/>
          <w:sz w:val="32"/>
          <w:szCs w:val="32"/>
          <w:lang w:val="en-US" w:eastAsia="zh-CN"/>
        </w:rPr>
        <w:t>（三）国有资产占有使用情况说明</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both"/>
        <w:textAlignment w:val="auto"/>
        <w:rPr>
          <w:rFonts w:ascii="Times New Roman" w:hAnsi="Times New Roman" w:eastAsia="仿宋_GB2312" w:cs="Times New Roman"/>
          <w:kern w:val="0"/>
          <w:sz w:val="32"/>
          <w:szCs w:val="32"/>
          <w:lang w:val="en-US" w:eastAsia="zh-CN"/>
        </w:rPr>
      </w:pPr>
      <w:r>
        <w:rPr>
          <w:rFonts w:ascii="Times New Roman" w:hAnsi="Times New Roman" w:eastAsia="仿宋_GB2312" w:cs="Times New Roman"/>
          <w:kern w:val="0"/>
          <w:sz w:val="32"/>
          <w:szCs w:val="32"/>
          <w:lang w:val="en-US" w:eastAsia="zh-CN"/>
        </w:rPr>
        <w:t>截至2023年12月31日，本部门房屋面积</w:t>
      </w:r>
      <w:r>
        <w:rPr>
          <w:rFonts w:hint="eastAsia" w:ascii="仿宋" w:hAnsi="仿宋" w:eastAsia="仿宋" w:cs="仿宋_GB2312"/>
          <w:sz w:val="32"/>
          <w:szCs w:val="32"/>
          <w:lang w:val="en-US" w:eastAsia="zh-CN"/>
        </w:rPr>
        <w:t>3300</w:t>
      </w:r>
      <w:r>
        <w:rPr>
          <w:rFonts w:ascii="Times New Roman" w:hAnsi="Times New Roman" w:eastAsia="仿宋_GB2312" w:cs="Times New Roman"/>
          <w:kern w:val="0"/>
          <w:sz w:val="32"/>
          <w:szCs w:val="32"/>
          <w:lang w:val="en-US" w:eastAsia="zh-CN"/>
        </w:rPr>
        <w:t>平方米，共有车辆</w:t>
      </w:r>
      <w:r>
        <w:rPr>
          <w:rFonts w:hint="eastAsia" w:ascii="仿宋" w:hAnsi="仿宋" w:eastAsia="仿宋" w:cs="仿宋_GB2312"/>
          <w:sz w:val="32"/>
          <w:szCs w:val="32"/>
          <w:lang w:val="en-US" w:eastAsia="zh-CN"/>
        </w:rPr>
        <w:t>13</w:t>
      </w:r>
      <w:r>
        <w:rPr>
          <w:rFonts w:ascii="Times New Roman" w:hAnsi="Times New Roman" w:eastAsia="仿宋_GB2312" w:cs="Times New Roman"/>
          <w:kern w:val="0"/>
          <w:sz w:val="32"/>
          <w:szCs w:val="32"/>
          <w:lang w:val="en-US" w:eastAsia="zh-CN"/>
        </w:rPr>
        <w:t>辆，其中：</w:t>
      </w:r>
      <w:r>
        <w:rPr>
          <w:rFonts w:ascii="Times New Roman" w:hAnsi="Times New Roman" w:eastAsia="仿宋_GB2312" w:cs="Times New Roman"/>
          <w:color w:val="auto"/>
          <w:kern w:val="0"/>
          <w:sz w:val="32"/>
          <w:szCs w:val="32"/>
          <w:lang w:val="en-US" w:eastAsia="zh-CN"/>
        </w:rPr>
        <w:t>领导干部用车</w:t>
      </w:r>
      <w:r>
        <w:rPr>
          <w:rFonts w:hint="eastAsia" w:ascii="仿宋" w:hAnsi="仿宋" w:eastAsia="仿宋" w:cs="仿宋_GB2312"/>
          <w:sz w:val="32"/>
          <w:szCs w:val="32"/>
          <w:lang w:val="en-US" w:eastAsia="zh-CN"/>
        </w:rPr>
        <w:t>0</w:t>
      </w:r>
      <w:r>
        <w:rPr>
          <w:rFonts w:ascii="Times New Roman" w:hAnsi="Times New Roman" w:eastAsia="仿宋_GB2312" w:cs="Times New Roman"/>
          <w:color w:val="auto"/>
          <w:kern w:val="0"/>
          <w:sz w:val="32"/>
          <w:szCs w:val="32"/>
          <w:lang w:val="en-US" w:eastAsia="zh-CN"/>
        </w:rPr>
        <w:t>辆、机要通信用车</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辆、应急保障用车</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辆、执法执勤用车</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辆、特种专业技术用车</w:t>
      </w:r>
      <w:r>
        <w:rPr>
          <w:rFonts w:hint="eastAsia" w:ascii="仿宋" w:hAnsi="仿宋" w:eastAsia="仿宋" w:cs="仿宋_GB2312"/>
          <w:sz w:val="32"/>
          <w:szCs w:val="32"/>
          <w:lang w:val="en-US" w:eastAsia="zh-CN"/>
        </w:rPr>
        <w:t>8</w:t>
      </w:r>
      <w:r>
        <w:rPr>
          <w:rFonts w:ascii="Times New Roman" w:hAnsi="Times New Roman" w:eastAsia="仿宋_GB2312" w:cs="Times New Roman"/>
          <w:kern w:val="0"/>
          <w:sz w:val="32"/>
          <w:szCs w:val="32"/>
          <w:lang w:val="en-US" w:eastAsia="zh-CN"/>
        </w:rPr>
        <w:t>辆、离退休干部用车</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辆、其他用车</w:t>
      </w:r>
      <w:r>
        <w:rPr>
          <w:rFonts w:hint="eastAsia" w:ascii="仿宋" w:hAnsi="仿宋" w:eastAsia="仿宋" w:cs="仿宋_GB2312"/>
          <w:sz w:val="32"/>
          <w:szCs w:val="32"/>
          <w:lang w:val="en-US" w:eastAsia="zh-CN"/>
        </w:rPr>
        <w:t>5</w:t>
      </w:r>
      <w:r>
        <w:rPr>
          <w:rFonts w:ascii="Times New Roman" w:hAnsi="Times New Roman" w:eastAsia="仿宋_GB2312" w:cs="Times New Roman"/>
          <w:kern w:val="0"/>
          <w:sz w:val="32"/>
          <w:szCs w:val="32"/>
          <w:lang w:val="en-US" w:eastAsia="zh-CN"/>
        </w:rPr>
        <w:t>辆，其他用车主要是</w:t>
      </w:r>
      <w:r>
        <w:rPr>
          <w:rFonts w:hint="eastAsia" w:ascii="仿宋" w:hAnsi="仿宋" w:eastAsia="仿宋" w:cs="仿宋_GB2312"/>
          <w:sz w:val="32"/>
          <w:szCs w:val="32"/>
          <w:lang w:val="en-US" w:eastAsia="zh-CN"/>
        </w:rPr>
        <w:t>单位业务用车。</w:t>
      </w:r>
      <w:r>
        <w:rPr>
          <w:rFonts w:ascii="Times New Roman" w:hAnsi="Times New Roman" w:eastAsia="仿宋_GB2312" w:cs="Times New Roman"/>
          <w:kern w:val="0"/>
          <w:sz w:val="32"/>
          <w:szCs w:val="32"/>
          <w:lang w:val="en-US" w:eastAsia="zh-CN"/>
        </w:rPr>
        <w:t>；单价100</w:t>
      </w:r>
      <w:r>
        <w:rPr>
          <w:rFonts w:hint="eastAsia" w:ascii="Times New Roman" w:hAnsi="Times New Roman" w:eastAsia="仿宋_GB2312" w:cs="Times New Roman"/>
          <w:kern w:val="0"/>
          <w:sz w:val="32"/>
          <w:szCs w:val="32"/>
          <w:lang w:val="en-US" w:eastAsia="zh-CN"/>
        </w:rPr>
        <w:t>万元</w:t>
      </w:r>
      <w:r>
        <w:rPr>
          <w:rFonts w:ascii="Times New Roman" w:hAnsi="Times New Roman" w:eastAsia="仿宋_GB2312" w:cs="Times New Roman"/>
          <w:kern w:val="0"/>
          <w:sz w:val="32"/>
          <w:szCs w:val="32"/>
          <w:lang w:val="en-US" w:eastAsia="zh-CN"/>
        </w:rPr>
        <w:t>以上专用设备</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台（套）。</w:t>
      </w:r>
    </w:p>
    <w:p>
      <w:pPr>
        <w:keepNext w:val="0"/>
        <w:keepLines w:val="0"/>
        <w:pageBreakBefore w:val="0"/>
        <w:kinsoku/>
        <w:wordWrap/>
        <w:overflowPunct/>
        <w:topLinePunct w:val="0"/>
        <w:autoSpaceDE/>
        <w:autoSpaceDN/>
        <w:bidi w:val="0"/>
        <w:adjustRightInd/>
        <w:snapToGrid/>
        <w:spacing w:line="580" w:lineRule="exact"/>
        <w:ind w:left="0" w:leftChars="0" w:right="0" w:rightChars="0" w:firstLine="642" w:firstLineChars="200"/>
        <w:jc w:val="both"/>
        <w:textAlignment w:val="auto"/>
        <w:outlineLvl w:val="9"/>
        <w:rPr>
          <w:rFonts w:ascii="Times New Roman" w:hAnsi="Times New Roman" w:eastAsia="仿宋_GB2312" w:cs="Times New Roman"/>
          <w:b/>
          <w:kern w:val="0"/>
          <w:sz w:val="32"/>
          <w:szCs w:val="32"/>
          <w:lang w:val="en-US" w:eastAsia="zh-CN"/>
        </w:rPr>
      </w:pPr>
      <w:r>
        <w:rPr>
          <w:rFonts w:ascii="Times New Roman" w:hAnsi="Times New Roman" w:eastAsia="仿宋_GB2312" w:cs="Times New Roman"/>
          <w:b/>
          <w:kern w:val="0"/>
          <w:sz w:val="32"/>
          <w:szCs w:val="32"/>
          <w:lang w:val="en-US" w:eastAsia="zh-CN"/>
        </w:rPr>
        <w:t>（四）预算绩效管理工作开展情况说明</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2" w:firstLineChars="200"/>
        <w:jc w:val="both"/>
        <w:textAlignment w:val="auto"/>
        <w:outlineLvl w:val="9"/>
        <w:rPr>
          <w:rFonts w:ascii="仿宋" w:hAnsi="仿宋" w:eastAsia="仿宋" w:cs="仿宋_GB2312"/>
          <w:sz w:val="32"/>
          <w:szCs w:val="32"/>
          <w:lang w:val="en-US" w:eastAsia="zh-CN"/>
        </w:rPr>
      </w:pPr>
      <w:r>
        <w:rPr>
          <w:rFonts w:ascii="Times New Roman" w:hAnsi="Times New Roman" w:eastAsia="仿宋_GB2312" w:cs="Times New Roman"/>
          <w:b/>
          <w:kern w:val="0"/>
          <w:sz w:val="32"/>
          <w:szCs w:val="32"/>
          <w:lang w:val="en-US" w:eastAsia="zh-CN"/>
        </w:rPr>
        <w:t xml:space="preserve">1.绩效管理工作开展情况。 </w:t>
      </w:r>
      <w:r>
        <w:rPr>
          <w:rFonts w:ascii="Times New Roman" w:hAnsi="Times New Roman" w:eastAsia="仿宋_GB2312" w:cs="Times New Roman"/>
          <w:kern w:val="0"/>
          <w:sz w:val="32"/>
          <w:szCs w:val="32"/>
          <w:lang w:val="en-US" w:eastAsia="zh-CN"/>
        </w:rPr>
        <w:t>根据预算绩效管理要求，</w:t>
      </w:r>
      <w:r>
        <w:rPr>
          <w:rFonts w:hint="eastAsia" w:ascii="仿宋" w:hAnsi="仿宋" w:eastAsia="仿宋"/>
          <w:color w:val="000000"/>
          <w:sz w:val="32"/>
          <w:szCs w:val="24"/>
          <w:highlight w:val="white"/>
          <w:lang w:val="en-US" w:eastAsia="zh-CN"/>
        </w:rPr>
        <w:t>宁夏回族自治区吴忠市利通区扁担沟镇人民政府</w:t>
      </w:r>
      <w:r>
        <w:rPr>
          <w:rFonts w:ascii="Times New Roman" w:hAnsi="Times New Roman" w:eastAsia="仿宋_GB2312" w:cs="Times New Roman"/>
          <w:kern w:val="0"/>
          <w:sz w:val="32"/>
          <w:szCs w:val="32"/>
          <w:lang w:val="en-US" w:eastAsia="zh-CN"/>
        </w:rPr>
        <w:t>组织对2023年度项目支出开展绩效自评。其中一级项目</w:t>
      </w:r>
      <w:r>
        <w:rPr>
          <w:rFonts w:hint="eastAsia" w:ascii="仿宋" w:hAnsi="仿宋" w:eastAsia="仿宋" w:cs="仿宋_GB2312"/>
          <w:sz w:val="32"/>
          <w:szCs w:val="32"/>
          <w:lang w:val="en-US" w:eastAsia="zh-CN"/>
        </w:rPr>
        <w:t>19</w:t>
      </w:r>
      <w:r>
        <w:rPr>
          <w:rFonts w:ascii="Times New Roman" w:hAnsi="Times New Roman" w:eastAsia="仿宋_GB2312" w:cs="Times New Roman"/>
          <w:kern w:val="0"/>
          <w:sz w:val="32"/>
          <w:szCs w:val="32"/>
          <w:lang w:val="en-US" w:eastAsia="zh-CN"/>
        </w:rPr>
        <w:t>个，二级项目</w:t>
      </w:r>
      <w:r>
        <w:rPr>
          <w:rFonts w:hint="eastAsia" w:ascii="仿宋" w:hAnsi="仿宋" w:eastAsia="仿宋" w:cs="仿宋_GB2312"/>
          <w:sz w:val="32"/>
          <w:szCs w:val="32"/>
          <w:lang w:val="en-US" w:eastAsia="zh-CN"/>
        </w:rPr>
        <w:t>0</w:t>
      </w:r>
      <w:r>
        <w:rPr>
          <w:rFonts w:ascii="Times New Roman" w:hAnsi="Times New Roman" w:eastAsia="仿宋_GB2312" w:cs="Times New Roman"/>
          <w:kern w:val="0"/>
          <w:sz w:val="32"/>
          <w:szCs w:val="32"/>
          <w:lang w:val="en-US" w:eastAsia="zh-CN"/>
        </w:rPr>
        <w:t>个，共涉及资金</w:t>
      </w:r>
      <w:r>
        <w:rPr>
          <w:rFonts w:hint="eastAsia" w:ascii="仿宋" w:hAnsi="仿宋" w:eastAsia="仿宋" w:cs="仿宋_GB2312"/>
          <w:sz w:val="32"/>
          <w:szCs w:val="32"/>
          <w:lang w:val="en-US" w:eastAsia="zh-CN"/>
        </w:rPr>
        <w:t>1213.52万元</w:t>
      </w:r>
      <w:r>
        <w:rPr>
          <w:rFonts w:ascii="仿宋" w:hAnsi="仿宋" w:eastAsia="仿宋" w:cs="仿宋_GB2312"/>
          <w:sz w:val="32"/>
          <w:szCs w:val="32"/>
          <w:lang w:val="en-US" w:eastAsia="zh-CN"/>
        </w:rPr>
        <w:t>，</w:t>
      </w:r>
      <w:r>
        <w:rPr>
          <w:rFonts w:hint="eastAsia" w:ascii="仿宋" w:hAnsi="仿宋" w:eastAsia="仿宋" w:cs="仿宋_GB2312"/>
          <w:sz w:val="32"/>
          <w:szCs w:val="32"/>
          <w:lang w:val="en-US" w:eastAsia="zh-CN"/>
        </w:rPr>
        <w:t>自评覆盖率达到100%。</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leftChars="0" w:right="0" w:rightChars="0" w:firstLine="642" w:firstLineChars="200"/>
        <w:jc w:val="left"/>
        <w:textAlignment w:val="auto"/>
        <w:rPr>
          <w:rFonts w:ascii="Times New Roman" w:hAnsi="Times New Roman" w:eastAsia="仿宋_GB2312" w:cs="Times New Roman"/>
          <w:kern w:val="0"/>
          <w:sz w:val="32"/>
          <w:szCs w:val="32"/>
          <w:lang w:val="en-US" w:eastAsia="zh-CN"/>
        </w:rPr>
      </w:pPr>
      <w:r>
        <w:rPr>
          <w:rFonts w:ascii="Times New Roman" w:hAnsi="Times New Roman" w:eastAsia="仿宋_GB2312" w:cs="Times New Roman"/>
          <w:b/>
          <w:color w:val="000000"/>
          <w:kern w:val="0"/>
          <w:sz w:val="32"/>
          <w:szCs w:val="32"/>
          <w:lang w:val="en-US" w:eastAsia="zh-CN"/>
        </w:rPr>
        <w:t>2.</w:t>
      </w:r>
      <w:r>
        <w:rPr>
          <w:rFonts w:ascii="Times New Roman" w:hAnsi="Times New Roman" w:eastAsia="仿宋_GB2312" w:cs="Times New Roman"/>
          <w:b/>
          <w:kern w:val="0"/>
          <w:sz w:val="32"/>
          <w:szCs w:val="32"/>
          <w:lang w:val="en-US" w:eastAsia="zh-CN"/>
        </w:rPr>
        <w:t>部门决算中项目绩效自评结果</w:t>
      </w:r>
      <w:r>
        <w:rPr>
          <w:rFonts w:ascii="Times New Roman" w:hAnsi="Times New Roman" w:eastAsia="仿宋_GB2312" w:cs="Times New Roman"/>
          <w:b/>
          <w:color w:val="000000"/>
          <w:kern w:val="0"/>
          <w:sz w:val="32"/>
          <w:szCs w:val="32"/>
          <w:lang w:val="en-US" w:eastAsia="zh-CN"/>
        </w:rPr>
        <w:t>。</w:t>
      </w:r>
      <w:r>
        <w:rPr>
          <w:rFonts w:hint="eastAsia" w:ascii="仿宋" w:hAnsi="仿宋" w:eastAsia="仿宋" w:cs="仿宋"/>
          <w:kern w:val="0"/>
          <w:sz w:val="32"/>
          <w:szCs w:val="32"/>
          <w:lang w:val="en-US" w:eastAsia="zh-CN"/>
        </w:rPr>
        <w:t>宁夏回族自治区吴忠市利通区扁担沟镇人民政府今年在部门决算中增加2023年冬季清洁取暖项目补助资金（建筑能效提升工程）项目绩效评价结果。根据年初设定的绩效目标，</w:t>
      </w:r>
      <w:r>
        <w:rPr>
          <w:rFonts w:hint="eastAsia" w:ascii="仿宋" w:hAnsi="仿宋" w:eastAsia="仿宋" w:cs="仿宋"/>
          <w:sz w:val="32"/>
          <w:szCs w:val="32"/>
          <w:lang w:val="en-US" w:eastAsia="zh-CN"/>
        </w:rPr>
        <w:t>2023年冬季清洁取暖项目补助资金（建筑能效提升工程）</w:t>
      </w:r>
      <w:r>
        <w:rPr>
          <w:rFonts w:ascii="Times New Roman" w:hAnsi="Times New Roman" w:eastAsia="仿宋_GB2312" w:cs="Times New Roman"/>
          <w:kern w:val="0"/>
          <w:sz w:val="32"/>
          <w:szCs w:val="32"/>
          <w:lang w:val="en-US" w:eastAsia="zh-CN"/>
        </w:rPr>
        <w:t>项目自评得分为</w:t>
      </w:r>
      <w:r>
        <w:rPr>
          <w:rFonts w:hint="eastAsia" w:ascii="仿宋" w:hAnsi="仿宋" w:eastAsia="仿宋" w:cs="仿宋_GB2312"/>
          <w:sz w:val="32"/>
          <w:szCs w:val="32"/>
          <w:lang w:val="en-US" w:eastAsia="zh-CN"/>
        </w:rPr>
        <w:t>100</w:t>
      </w:r>
      <w:r>
        <w:rPr>
          <w:rFonts w:ascii="Times New Roman" w:hAnsi="Times New Roman" w:eastAsia="仿宋_GB2312" w:cs="Times New Roman"/>
          <w:kern w:val="0"/>
          <w:sz w:val="32"/>
          <w:szCs w:val="32"/>
          <w:lang w:val="en-US" w:eastAsia="zh-CN"/>
        </w:rPr>
        <w:t>分。发现的主要问题：</w:t>
      </w:r>
      <w:r>
        <w:rPr>
          <w:rFonts w:hint="eastAsia" w:ascii="仿宋" w:hAnsi="仿宋" w:eastAsia="仿宋" w:cs="仿宋_GB2312"/>
          <w:color w:val="auto"/>
          <w:sz w:val="32"/>
          <w:szCs w:val="32"/>
          <w:lang w:val="en-US" w:eastAsia="zh-CN"/>
        </w:rPr>
        <w:t>无</w:t>
      </w:r>
      <w:r>
        <w:rPr>
          <w:rFonts w:ascii="Times New Roman" w:hAnsi="Times New Roman" w:eastAsia="仿宋_GB2312" w:cs="Times New Roman"/>
          <w:kern w:val="0"/>
          <w:sz w:val="32"/>
          <w:szCs w:val="32"/>
          <w:lang w:val="en-US" w:eastAsia="zh-CN"/>
        </w:rPr>
        <w:t>下一步改进措施：</w:t>
      </w:r>
      <w:r>
        <w:rPr>
          <w:rFonts w:hint="eastAsia" w:ascii="仿宋" w:hAnsi="仿宋" w:eastAsia="仿宋" w:cs="仿宋_GB2312"/>
          <w:color w:val="auto"/>
          <w:sz w:val="32"/>
          <w:szCs w:val="32"/>
          <w:lang w:val="en-US" w:eastAsia="zh-CN"/>
        </w:rPr>
        <w:t>下一步将继续加强一般公共预算项目支出绩效评价工作和评价结果的应用，通过运用绩效评价结果，发现绩效评价对象在财政资金管理和使用过程中存在的不足，制定解决措施和方案，提高部门绩效管理水平。</w:t>
      </w:r>
    </w:p>
    <w:p>
      <w:pPr>
        <w:jc w:val="both"/>
        <w:rPr>
          <w:rFonts w:hint="eastAsia" w:ascii="Times New Roman" w:hAnsi="Times New Roman" w:eastAsia="黑体" w:cs="Times New Roman"/>
          <w:b w:val="0"/>
          <w:kern w:val="0"/>
          <w:sz w:val="36"/>
          <w:szCs w:val="36"/>
          <w:lang w:val="en-US" w:eastAsia="zh-CN"/>
        </w:rPr>
      </w:pPr>
      <w:r>
        <w:rPr/>
        <w:br w:type="page" w:clear="none"/>
      </w: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176" w:firstLineChars="49"/>
        <w:jc w:val="center"/>
        <w:textAlignment w:val="auto"/>
        <w:outlineLvl w:val="1"/>
        <w:rPr>
          <w:rFonts w:ascii="Times New Roman" w:hAnsi="Times New Roman" w:eastAsia="黑体" w:cs="Times New Roman"/>
          <w:b w:val="0"/>
          <w:kern w:val="0"/>
          <w:sz w:val="36"/>
          <w:szCs w:val="36"/>
          <w:lang w:val="en-US" w:eastAsia="zh-CN"/>
        </w:rPr>
      </w:pPr>
      <w:r>
        <w:rPr>
          <w:rFonts w:hint="eastAsia" w:ascii="Times New Roman" w:hAnsi="Times New Roman" w:eastAsia="黑体" w:cs="Times New Roman"/>
          <w:b w:val="0"/>
          <w:kern w:val="0"/>
          <w:sz w:val="36"/>
          <w:szCs w:val="36"/>
          <w:lang w:val="en-US" w:eastAsia="zh-CN"/>
        </w:rPr>
        <w:t>第四部分  名词解释</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1、财政拨款收入:</w:t>
      </w:r>
      <w:r>
        <w:rPr>
          <w:rFonts w:hint="eastAsia" w:ascii="仿宋" w:hAnsi="仿宋" w:eastAsia="仿宋" w:cs="仿宋_GB2312"/>
          <w:sz w:val="32"/>
          <w:szCs w:val="32"/>
          <w:lang w:val="en-US" w:eastAsia="zh-CN"/>
        </w:rPr>
        <w:t>指行政单位从同级财政部门取得的财政预算资金。</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2、事业收入:</w:t>
      </w:r>
      <w:r>
        <w:rPr>
          <w:rFonts w:hint="eastAsia" w:ascii="仿宋" w:hAnsi="仿宋" w:eastAsia="仿宋" w:cs="仿宋_GB2312"/>
          <w:sz w:val="32"/>
          <w:szCs w:val="32"/>
          <w:lang w:val="en-US" w:eastAsia="zh-CN"/>
        </w:rPr>
        <w:t>指事业单位开展专业业务活动及辅助活动取得的收入。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3、事业单位经营收入:</w:t>
      </w:r>
      <w:r>
        <w:rPr>
          <w:rFonts w:hint="eastAsia" w:ascii="仿宋" w:hAnsi="仿宋" w:eastAsia="仿宋" w:cs="仿宋_GB2312"/>
          <w:sz w:val="32"/>
          <w:szCs w:val="32"/>
          <w:lang w:val="en-US" w:eastAsia="zh-CN"/>
        </w:rPr>
        <w:t>指事业单位在专业业务活动及辅助活动之外开展非独立核算经营活动取得的收入。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4、其他收入:</w:t>
      </w:r>
      <w:r>
        <w:rPr>
          <w:rFonts w:hint="eastAsia" w:ascii="仿宋" w:hAnsi="仿宋" w:eastAsia="仿宋" w:cs="仿宋_GB2312"/>
          <w:sz w:val="32"/>
          <w:szCs w:val="32"/>
          <w:lang w:val="en-US" w:eastAsia="zh-CN"/>
        </w:rPr>
        <w:t>指除“财政拨款收入”、“财政专户资金”、“事业收入”、“事业单位经营收入”以外的各项收入。包括利息收入、捐赠收入等。</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5、上级补助收入:</w:t>
      </w:r>
      <w:r>
        <w:rPr>
          <w:rFonts w:hint="eastAsia" w:ascii="仿宋" w:hAnsi="仿宋" w:eastAsia="仿宋" w:cs="仿宋_GB2312"/>
          <w:sz w:val="32"/>
          <w:szCs w:val="32"/>
          <w:lang w:val="en-US" w:eastAsia="zh-CN"/>
        </w:rPr>
        <w:t>指从主管部门和上级单位取得的非财政补助收入。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6、上年结转:</w:t>
      </w:r>
      <w:r>
        <w:rPr>
          <w:rFonts w:hint="eastAsia" w:ascii="仿宋" w:hAnsi="仿宋" w:eastAsia="仿宋" w:cs="仿宋_GB2312"/>
          <w:sz w:val="32"/>
          <w:szCs w:val="32"/>
          <w:lang w:val="en-US" w:eastAsia="zh-CN"/>
        </w:rPr>
        <w:t>指以前年度尚未完成、结转到本年仍按原规定用途继续使用的资金。</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7、基本支出:</w:t>
      </w:r>
      <w:r>
        <w:rPr>
          <w:rFonts w:hint="eastAsia" w:ascii="仿宋" w:hAnsi="仿宋" w:eastAsia="仿宋" w:cs="仿宋_GB2312"/>
          <w:sz w:val="32"/>
          <w:szCs w:val="32"/>
          <w:lang w:val="en-US" w:eastAsia="zh-CN"/>
        </w:rPr>
        <w:t>反映为保障机构正常运转、完成日常工作任务而发生的人员支出和公用支出。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8、项目支出:</w:t>
      </w:r>
      <w:r>
        <w:rPr>
          <w:rFonts w:hint="eastAsia" w:ascii="仿宋" w:hAnsi="仿宋" w:eastAsia="仿宋" w:cs="仿宋_GB2312"/>
          <w:sz w:val="32"/>
          <w:szCs w:val="32"/>
          <w:lang w:val="en-US" w:eastAsia="zh-CN"/>
        </w:rPr>
        <w:t>反映行政单位为完成特定的工作任务或事业发展目标，在基本的预算支出以外，财政预算专款安排的支出。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9、支出功能分类:</w:t>
      </w:r>
      <w:r>
        <w:rPr>
          <w:rFonts w:hint="eastAsia" w:ascii="仿宋" w:hAnsi="仿宋" w:eastAsia="仿宋" w:cs="仿宋_GB2312"/>
          <w:sz w:val="32"/>
          <w:szCs w:val="32"/>
          <w:lang w:val="en-US" w:eastAsia="zh-CN"/>
        </w:rPr>
        <w:t>按照政府的各项职能活动将支出进行分类;支出经济分类:按照政府各项支出的具体用途将支出进行分类。</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10、工资福利支出(类):</w:t>
      </w:r>
      <w:r>
        <w:rPr>
          <w:rFonts w:hint="eastAsia" w:ascii="仿宋" w:hAnsi="仿宋" w:eastAsia="仿宋" w:cs="仿宋_GB2312"/>
          <w:sz w:val="32"/>
          <w:szCs w:val="32"/>
          <w:lang w:val="en-US" w:eastAsia="zh-CN"/>
        </w:rPr>
        <w:t>反映单位开支的在职职工和编制外长期聘用人员的各类劳动报酬，以及为上述人员缴纳的各项社会保险费等。</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11、商品和服务支出(类):</w:t>
      </w:r>
      <w:r>
        <w:rPr>
          <w:rFonts w:hint="eastAsia" w:ascii="仿宋" w:hAnsi="仿宋" w:eastAsia="仿宋" w:cs="仿宋_GB2312"/>
          <w:sz w:val="32"/>
          <w:szCs w:val="32"/>
          <w:lang w:val="en-US" w:eastAsia="zh-CN"/>
        </w:rPr>
        <w:t>反映单位购买商品和服务的支出。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12、对个人和家庭补助支出(类):</w:t>
      </w:r>
      <w:r>
        <w:rPr>
          <w:rFonts w:hint="eastAsia" w:ascii="仿宋" w:hAnsi="仿宋" w:eastAsia="仿宋" w:cs="仿宋_GB2312"/>
          <w:sz w:val="32"/>
          <w:szCs w:val="32"/>
          <w:lang w:val="en-US" w:eastAsia="zh-CN"/>
        </w:rPr>
        <w:t>反映政府用于对个人和家庭的补助支出。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13、一般公共预算“三公”经费:</w:t>
      </w:r>
      <w:r>
        <w:rPr>
          <w:rFonts w:hint="eastAsia" w:ascii="仿宋" w:hAnsi="仿宋" w:eastAsia="仿宋" w:cs="仿宋_GB2312"/>
          <w:sz w:val="32"/>
          <w:szCs w:val="32"/>
          <w:lang w:val="en-US" w:eastAsia="zh-CN"/>
        </w:rPr>
        <w:t>是指用财政拨款安排的因公出国(境)费、公务用车购置及运行维护费和公务接待费。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(1)因公出国(境)费:</w:t>
      </w:r>
      <w:r>
        <w:rPr>
          <w:rFonts w:hint="eastAsia" w:ascii="仿宋" w:hAnsi="仿宋" w:eastAsia="仿宋" w:cs="仿宋_GB2312"/>
          <w:sz w:val="32"/>
          <w:szCs w:val="32"/>
          <w:lang w:val="en-US" w:eastAsia="zh-CN"/>
        </w:rPr>
        <w:t>反映公务出国(境)的住宿费、旅费、伙食补助费、杂费、培训费等支出。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(2)公务接待费:</w:t>
      </w:r>
      <w:r>
        <w:rPr>
          <w:rFonts w:hint="eastAsia" w:ascii="仿宋" w:hAnsi="仿宋" w:eastAsia="仿宋" w:cs="仿宋_GB2312"/>
          <w:sz w:val="32"/>
          <w:szCs w:val="32"/>
          <w:lang w:val="en-US" w:eastAsia="zh-CN"/>
        </w:rPr>
        <w:t>反映按规定开支的各类公务接待(含外宾接待)支出。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(3)公务用车购置及运行维护费:</w:t>
      </w:r>
      <w:r>
        <w:rPr>
          <w:rFonts w:hint="eastAsia" w:ascii="仿宋" w:hAnsi="仿宋" w:eastAsia="仿宋" w:cs="仿宋_GB2312"/>
          <w:sz w:val="32"/>
          <w:szCs w:val="32"/>
          <w:lang w:val="en-US" w:eastAsia="zh-CN"/>
        </w:rPr>
        <w:t>反映公务用车购置费及租用费、燃料费、维修费、过路过桥费、保险费等支出。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2" w:firstLineChars="200"/>
        <w:jc w:val="both"/>
        <w:textAlignment w:val="auto"/>
        <w:rPr>
          <w:rFonts w:hint="eastAsia" w:ascii="仿宋" w:hAnsi="仿宋" w:eastAsia="仿宋" w:cs="仿宋_GB2312"/>
          <w:sz w:val="32"/>
          <w:szCs w:val="32"/>
          <w:lang w:val="en-US" w:eastAsia="zh-CN"/>
        </w:rPr>
      </w:pPr>
      <w:r>
        <w:rPr>
          <w:rFonts w:hint="eastAsia" w:ascii="仿宋" w:hAnsi="仿宋" w:eastAsia="仿宋" w:cs="仿宋_GB2312"/>
          <w:b/>
          <w:bCs/>
          <w:sz w:val="32"/>
          <w:szCs w:val="32"/>
          <w:lang w:val="en-US" w:eastAsia="zh-CN"/>
        </w:rPr>
        <w:t>14、机关运行经费:</w:t>
      </w:r>
      <w:r>
        <w:rPr>
          <w:rFonts w:hint="eastAsia" w:ascii="仿宋" w:hAnsi="仿宋" w:eastAsia="仿宋" w:cs="仿宋_GB2312"/>
          <w:sz w:val="32"/>
          <w:szCs w:val="32"/>
          <w:lang w:val="en-US" w:eastAsia="zh-CN"/>
        </w:rPr>
        <w:t>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jc w:val="both"/>
        <w:textAlignment w:val="auto"/>
        <w:rPr>
          <w:rFonts w:ascii="Times New Roman" w:hAnsi="Times New Roman" w:eastAsia="宋体" w:cs="Times New Roman"/>
          <w:lang w:val="en-US" w:eastAsia="zh-CN"/>
        </w:rPr>
      </w:pPr>
      <w:r>
        <w:rPr>
          <w:rFonts w:hint="eastAsia" w:ascii="仿宋" w:hAnsi="仿宋" w:eastAsia="仿宋" w:cs="仿宋_GB2312"/>
          <w:sz w:val="32"/>
          <w:szCs w:val="32"/>
          <w:lang w:val="en-US" w:eastAsia="zh-CN"/>
        </w:rPr>
        <w:t xml:space="preserve">    2023年度本部门机关运行经费支出466278.33元，比2022年度减少196846.67元，下降42%。 </w:t>
      </w:r>
    </w:p>
    <w:p>
      <w:pPr>
        <w:jc w:val="both"/>
      </w:pPr>
    </w:p>
    <w:p>
      <w:pPr>
        <w:jc w:val="both"/>
      </w:pPr>
    </w:p>
    <w:p>
      <w:pPr>
        <w:jc w:val="both"/>
        <w:rPr>
          <w:rFonts w:hint="eastAsia" w:ascii="Times New Roman" w:hAnsi="Times New Roman" w:eastAsia="黑体" w:cs="Times New Roman"/>
          <w:b w:val="0"/>
          <w:kern w:val="0"/>
          <w:sz w:val="36"/>
          <w:szCs w:val="36"/>
          <w:lang w:val="en-US" w:eastAsia="zh-CN"/>
        </w:rPr>
      </w:pPr>
      <w:r>
        <w:rPr/>
        <w:br w:type="page" w:clear="none"/>
      </w: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176" w:firstLineChars="49"/>
        <w:jc w:val="center"/>
        <w:textAlignment w:val="auto"/>
        <w:outlineLvl w:val="1"/>
        <w:rPr>
          <w:rFonts w:hint="eastAsia" w:ascii="Times New Roman" w:hAnsi="Times New Roman" w:eastAsia="黑体" w:cs="Times New Roman"/>
          <w:b w:val="0"/>
          <w:kern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176" w:firstLineChars="49"/>
        <w:jc w:val="center"/>
        <w:textAlignment w:val="auto"/>
        <w:outlineLvl w:val="1"/>
        <w:rPr>
          <w:rFonts w:ascii="Times New Roman" w:hAnsi="Times New Roman" w:eastAsia="黑体" w:cs="Times New Roman"/>
          <w:b w:val="0"/>
          <w:kern w:val="0"/>
          <w:sz w:val="36"/>
          <w:szCs w:val="36"/>
          <w:lang w:val="en-US" w:eastAsia="zh-CN"/>
        </w:rPr>
      </w:pPr>
      <w:r>
        <w:rPr>
          <w:rFonts w:hint="eastAsia" w:ascii="Times New Roman" w:hAnsi="Times New Roman" w:eastAsia="黑体" w:cs="Times New Roman"/>
          <w:b w:val="0"/>
          <w:kern w:val="0"/>
          <w:sz w:val="36"/>
          <w:szCs w:val="36"/>
          <w:lang w:val="en-US" w:eastAsia="zh-CN"/>
        </w:rPr>
        <w:t>第五部分    附件</w:t>
      </w:r>
    </w:p>
    <w:p>
      <w:pPr>
        <w:spacing w:line="600" w:lineRule="exact"/>
        <w:ind w:firstLine="640" w:firstLineChars="200"/>
        <w:jc w:val="both"/>
        <w:rPr>
          <w:rFonts w:ascii="Times New Roman" w:hAnsi="Times New Roman" w:eastAsia="仿宋_GB2312" w:cs="Times New Roman"/>
          <w:bCs/>
          <w:dstrike/>
          <w:sz w:val="32"/>
          <w:szCs w:val="32"/>
          <w:lang w:val="en-US" w:eastAsia="zh-CN"/>
        </w:rPr>
        <w:sectPr>
          <w:headerReference r:id="rId6" w:type="default"/>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仿宋_GB2312" w:cs="Times New Roman"/>
          <w:sz w:val="32"/>
          <w:szCs w:val="32"/>
          <w:lang w:val="en-US" w:eastAsia="zh-CN"/>
        </w:rPr>
        <w:t>吴忠市利通区扁担沟镇2023年度</w:t>
      </w:r>
      <w:r>
        <w:rPr>
          <w:rFonts w:hint="eastAsia" w:ascii="Times New Roman" w:hAnsi="Times New Roman" w:eastAsia="仿宋_GB2312" w:cs="Times New Roman"/>
          <w:bCs/>
          <w:sz w:val="32"/>
          <w:szCs w:val="32"/>
          <w:lang w:val="en-US" w:eastAsia="zh-CN"/>
        </w:rPr>
        <w:t>项目绩效评价信息公开表。</w:t>
      </w:r>
    </w:p>
    <w:p>
      <w:pPr>
        <w:pStyle w:val="12"/>
        <w:rPr>
          <w:lang w:val="en-US" w:eastAsia="uk-UA"/>
        </w:rPr>
      </w:pPr>
      <w:r>
        <w:rPr>
          <w:lang w:val="en-US" w:eastAsia="uk-UA"/>
        </w:rPr>
        <w:drawing>
          <wp:inline distT="0" distB="0" distL="114300" distR="114300">
            <wp:extent cx="7558405" cy="10690225"/>
            <wp:effectExtent l="0" t="0" r="4445" b="1587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5"/>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6"/>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7"/>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8"/>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9"/>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0"/>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1"/>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2"/>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3"/>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4"/>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5"/>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26"/>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27"/>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28"/>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29"/>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30"/>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31"/>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32"/>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33"/>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34"/>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35"/>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36"/>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37"/>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8"/>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39"/>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pPr>
      <w:r>
        <w:rPr>
          <w:lang w:val="en-US" w:eastAsia="uk-UA"/>
        </w:rPr>
        <w:drawing>
          <wp:inline distT="0" distB="0" distL="114300" distR="114300">
            <wp:extent cx="7558405" cy="10690225"/>
            <wp:effectExtent l="0" t="0" r="4445" b="15875"/>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40"/>
                    <a:stretch>
                      <a:fillRect/>
                    </a:stretch>
                  </pic:blipFill>
                  <pic:spPr>
                    <a:xfrm>
                      <a:off x="0" y="0"/>
                      <a:ext cx="7558405" cy="10690225"/>
                    </a:xfrm>
                    <a:prstGeom prst="rect">
                      <a:avLst/>
                    </a:prstGeom>
                    <a:noFill/>
                    <a:ln>
                      <a:noFill/>
                    </a:ln>
                  </pic:spPr>
                </pic:pic>
              </a:graphicData>
            </a:graphic>
          </wp:inline>
        </w:drawing>
      </w:r>
    </w:p>
    <w:p>
      <w:pPr>
        <w:pStyle w:val="12"/>
        <w:rPr>
          <w:lang w:val="en-US" w:eastAsia="uk-UA"/>
        </w:rPr>
        <w:sectPr>
          <w:headerReference r:id="rId9" w:type="default"/>
          <w:pgSz w:w="11907" w:h="16839"/>
          <w:pgMar w:top="2" w:right="2" w:bottom="2" w:left="2" w:header="0" w:footer="720" w:gutter="0"/>
          <w:cols w:space="720" w:num="1"/>
          <w:docGrid w:linePitch="0" w:charSpace="0"/>
        </w:sectPr>
      </w:pPr>
      <w:r>
        <w:rPr>
          <w:lang w:val="en-US" w:eastAsia="uk-UA"/>
        </w:rPr>
        <w:drawing>
          <wp:inline distT="0" distB="0" distL="114300" distR="114300">
            <wp:extent cx="7558405" cy="10690225"/>
            <wp:effectExtent l="0" t="0" r="4445" b="1587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41"/>
                    <a:stretch>
                      <a:fillRect/>
                    </a:stretch>
                  </pic:blipFill>
                  <pic:spPr>
                    <a:xfrm>
                      <a:off x="0" y="0"/>
                      <a:ext cx="7558405" cy="10690225"/>
                    </a:xfrm>
                    <a:prstGeom prst="rect">
                      <a:avLst/>
                    </a:prstGeom>
                    <a:noFill/>
                    <a:ln>
                      <a:noFill/>
                    </a:ln>
                  </pic:spPr>
                </pic:pic>
              </a:graphicData>
            </a:graphic>
          </wp:inline>
        </w:drawing>
      </w:r>
    </w:p>
    <w:p>
      <w:pPr>
        <w:jc w:val="both"/>
        <w:rPr>
          <w:lang w:val="en-US" w:eastAsia="zh-CN"/>
        </w:rPr>
      </w:pPr>
    </w:p>
    <w:sectPr>
      <w:headerReference r:id="rId10" w:type="default"/>
      <w:footerReference r:id="rId11" w:type="default"/>
      <w:footerReference r:id="rId12"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eastAsia="宋体"/>
        <w:lang w:val="en-US" w:eastAsia="zh-CN"/>
      </w:rPr>
    </w:pPr>
    <w:r>
      <w:rPr>
        <w:rFonts w:hint="eastAsia"/>
        <w:lang w:val="en-US"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jc w:val="left"/>
      <w:rPr>
        <w:rStyle w:val="10"/>
        <w:lang w:val="en-US" w:eastAsia="zh-CN"/>
      </w:rPr>
    </w:pPr>
    <w:r>
      <w:rPr>
        <w:rStyle w:val="10"/>
        <w:lang w:val="en-US" w:eastAsia="zh-CN"/>
      </w:rPr>
      <w:fldChar w:fldCharType="begin"/>
    </w:r>
    <w:r>
      <w:rPr>
        <w:rStyle w:val="10"/>
        <w:lang w:val="en-US" w:eastAsia="zh-CN"/>
      </w:rPr>
      <w:instrText xml:space="preserve">PAGE </w:instrText>
    </w:r>
    <w:r>
      <w:rPr>
        <w:lang w:val="en-US" w:eastAsia="zh-CN"/>
      </w:rPr>
      <w:fldChar w:fldCharType="separate"/>
    </w:r>
    <w:r>
      <w:rPr>
        <w:lang w:val="en-US" w:eastAsia="zh-CN"/>
      </w:rPr>
      <w:fldChar w:fldCharType="end"/>
    </w:r>
  </w:p>
  <w:p>
    <w:pPr>
      <w:pStyle w:val="4"/>
      <w:jc w:val="left"/>
      <w:rPr>
        <w:lang w:val="en-US"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lang w:val="en-US"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jc w:val="left"/>
      <w:rPr>
        <w:rStyle w:val="10"/>
        <w:lang w:val="en-US" w:eastAsia="zh-CN"/>
      </w:rPr>
    </w:pPr>
    <w:r>
      <w:rPr>
        <w:rStyle w:val="10"/>
        <w:lang w:val="en-US" w:eastAsia="zh-CN"/>
      </w:rPr>
      <w:fldChar w:fldCharType="begin"/>
    </w:r>
    <w:r>
      <w:rPr>
        <w:rStyle w:val="10"/>
        <w:lang w:val="en-US" w:eastAsia="zh-CN"/>
      </w:rPr>
      <w:instrText xml:space="preserve">PAGE </w:instrText>
    </w:r>
    <w:r>
      <w:rPr>
        <w:lang w:val="en-US" w:eastAsia="zh-CN"/>
      </w:rPr>
      <w:fldChar w:fldCharType="separate"/>
    </w:r>
    <w:r>
      <w:rPr>
        <w:lang w:val="en-US" w:eastAsia="zh-CN"/>
      </w:rPr>
      <w:fldChar w:fldCharType="end"/>
    </w:r>
  </w:p>
  <w:p>
    <w:pPr>
      <w:pStyle w:val="4"/>
      <w:jc w:val="left"/>
      <w:rPr>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center"/>
      <w:rPr>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lang w:val="en-US" w:eastAsia="uk-UA"/>
      </w:rPr>
    </w:pPr>
    <w:r>
      <w:rPr>
        <w:sz w:val="2"/>
        <w:lang w:val="en-US" w:eastAsia="uk-UA"/>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center"/>
      <w:rPr>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bordersDoNotSurroundHeader w:val="false"/>
  <w:bordersDoNotSurroundFooter w:val="fals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xYmZlMTFiZTY0M2M2ODMxM2YwZDVjMzk3MjBkOGQifQ=="/>
  </w:docVars>
  <w:rsids>
    <w:rsidRoot w:val="00000000"/>
    <w:rsid w:val="19B90F1E"/>
    <w:rsid w:val="26EC1A10"/>
    <w:rsid w:val="27DD2B81"/>
    <w:rsid w:val="6FEE4594"/>
    <w:rsid w:val="7BEFFFC0"/>
    <w:rsid w:val="7C3638DD"/>
    <w:rsid w:val="7EF6E006"/>
    <w:rsid w:val="A1FFD13C"/>
    <w:rsid w:val="AEB77F28"/>
    <w:rsid w:val="BB6FB0F4"/>
    <w:rsid w:val="CEFFBBB1"/>
    <w:rsid w:val="DCFB3F1B"/>
    <w:rsid w:val="EF1E85AC"/>
    <w:rsid w:val="FA9BF117"/>
    <w:rsid w:val="FBF7393E"/>
    <w:rsid w:val="FEFF84C2"/>
    <w:rsid w:val="FFBFCD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iPriority="0" w:semiHidden="0" w:name="heading 1"/>
    <w:lsdException w:qFormat="1"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jc w:val="both"/>
      <w:outlineLvl w:val="1"/>
    </w:pPr>
    <w:rPr>
      <w:rFonts w:ascii="Arial" w:hAnsi="Arial" w:eastAsia="黑体"/>
      <w:b/>
      <w:sz w:val="32"/>
      <w:lang w:val="en-US" w:eastAsia="zh-CN"/>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autoSpaceDE w:val="0"/>
      <w:autoSpaceDN w:val="0"/>
      <w:spacing w:line="240" w:lineRule="auto"/>
      <w:jc w:val="left"/>
    </w:pPr>
    <w:rPr>
      <w:rFonts w:ascii="Times New Roman" w:hAnsi="Times New Roman" w:eastAsia="Times New Roman" w:cs="Times New Roman"/>
      <w:kern w:val="0"/>
      <w:sz w:val="20"/>
      <w:szCs w:val="20"/>
      <w:lang w:val="en-US" w:eastAsia="en-US"/>
    </w:rPr>
  </w:style>
  <w:style w:type="paragraph" w:styleId="4">
    <w:name w:val="footer"/>
    <w:basedOn w:val="1"/>
    <w:qFormat/>
    <w:uiPriority w:val="0"/>
    <w:pPr>
      <w:tabs>
        <w:tab w:val="center" w:pos="4153"/>
        <w:tab w:val="right" w:pos="8306"/>
      </w:tabs>
      <w:snapToGrid w:val="0"/>
      <w:jc w:val="left"/>
    </w:pPr>
    <w:rPr>
      <w:sz w:val="18"/>
      <w:szCs w:val="18"/>
      <w:lang w:val="en-US" w:eastAsia="zh-CN"/>
    </w:rPr>
  </w:style>
  <w:style w:type="paragraph" w:styleId="5">
    <w:name w:val="header"/>
    <w:basedOn w:val="1"/>
    <w:unhideWhenUsed/>
    <w:qFormat/>
    <w:uiPriority w:val="99"/>
    <w:pPr>
      <w:pBdr>
        <w:bottom w:val="single" w:color="000000" w:sz="6" w:space="1"/>
      </w:pBdr>
      <w:tabs>
        <w:tab w:val="center" w:pos="4153"/>
        <w:tab w:val="right" w:pos="8306"/>
      </w:tabs>
      <w:snapToGrid w:val="0"/>
      <w:spacing w:line="240" w:lineRule="auto"/>
      <w:jc w:val="center"/>
    </w:pPr>
    <w:rPr>
      <w:sz w:val="18"/>
      <w:szCs w:val="18"/>
      <w:lang w:val="en-US" w:eastAsia="zh-CN"/>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basedOn w:val="9"/>
    <w:qFormat/>
    <w:uiPriority w:val="0"/>
  </w:style>
  <w:style w:type="paragraph" w:customStyle="1" w:styleId="1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2">
    <w:name w:val="Normal_828352e1-1eb6-4d8c-80a5-0aab59bc5cf4"/>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6028</Words>
  <Characters>28740</Characters>
  <Lines>1</Lines>
  <Paragraphs>1</Paragraphs>
  <TotalTime>1</TotalTime>
  <ScaleCrop>false</ScaleCrop>
  <LinksUpToDate>false</LinksUpToDate>
  <CharactersWithSpaces>29555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2018-08-03T19:22:00Z</dcterms:created>
  <dc:creator>李海英</dc:creator>
  <cp:lastModifiedBy>ltq</cp:lastModifiedBy>
  <cp:lastPrinted>2024-09-11T11:37:00Z</cp:lastPrinted>
  <dcterms:modified xsi:type="dcterms:W3CDTF">2024-09-23T15:39:26Z</dcterms:modified>
  <dc:title>附件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841F421A672F44F3BC1212AB0212B9E8_13</vt:lpwstr>
  </property>
</Properties>
</file>