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spacing w:line="560" w:lineRule="exact"/>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方正小标宋_GBK" w:cs="Times New Roman"/>
          <w:b w:val="0"/>
          <w:bCs/>
          <w:sz w:val="44"/>
          <w:szCs w:val="44"/>
        </w:rPr>
        <w:t>利通区</w:t>
      </w:r>
      <w:r>
        <w:rPr>
          <w:rFonts w:hint="eastAsia" w:ascii="Times New Roman" w:hAnsi="Times New Roman" w:eastAsia="方正小标宋_GBK" w:cs="Times New Roman"/>
          <w:b w:val="0"/>
          <w:bCs/>
          <w:sz w:val="44"/>
          <w:szCs w:val="44"/>
          <w:lang w:eastAsia="zh-CN"/>
        </w:rPr>
        <w:t>2024</w:t>
      </w:r>
      <w:r>
        <w:rPr>
          <w:rFonts w:hint="default" w:ascii="Times New Roman" w:hAnsi="Times New Roman" w:eastAsia="方正小标宋_GBK" w:cs="Times New Roman"/>
          <w:b w:val="0"/>
          <w:bCs/>
          <w:sz w:val="44"/>
          <w:szCs w:val="44"/>
        </w:rPr>
        <w:t>年</w:t>
      </w:r>
      <w:r>
        <w:rPr>
          <w:rFonts w:hint="default" w:ascii="Times New Roman" w:hAnsi="Times New Roman" w:eastAsia="方正小标宋_GBK" w:cs="Times New Roman"/>
          <w:b w:val="0"/>
          <w:bCs/>
          <w:sz w:val="44"/>
          <w:szCs w:val="44"/>
          <w:lang w:val="en-US" w:eastAsia="zh-CN"/>
        </w:rPr>
        <w:t>农药包装废弃物回收处理</w:t>
      </w:r>
      <w:r>
        <w:rPr>
          <w:rFonts w:hint="default" w:ascii="Times New Roman" w:hAnsi="Times New Roman" w:eastAsia="方正小标宋_GBK" w:cs="Times New Roman"/>
          <w:b w:val="0"/>
          <w:bCs/>
          <w:sz w:val="44"/>
          <w:szCs w:val="44"/>
          <w:lang w:eastAsia="zh-CN"/>
        </w:rPr>
        <w:t>项目</w:t>
      </w:r>
      <w:r>
        <w:rPr>
          <w:rFonts w:hint="eastAsia" w:ascii="Times New Roman" w:hAnsi="Times New Roman" w:eastAsia="方正小标宋_GBK" w:cs="Times New Roman"/>
          <w:b w:val="0"/>
          <w:bCs/>
          <w:sz w:val="44"/>
          <w:szCs w:val="44"/>
          <w:lang w:eastAsia="zh-CN"/>
        </w:rPr>
        <w:t>完成情况</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实施单位：</w:t>
      </w:r>
      <w:r>
        <w:rPr>
          <w:rFonts w:hint="default" w:ascii="Times New Roman" w:hAnsi="Times New Roman" w:eastAsia="仿宋_GB2312" w:cs="Times New Roman"/>
          <w:b w:val="0"/>
          <w:bCs w:val="0"/>
          <w:sz w:val="32"/>
          <w:szCs w:val="32"/>
          <w:lang w:val="en-US" w:eastAsia="zh-CN"/>
        </w:rPr>
        <w:t>吴忠市</w:t>
      </w:r>
      <w:r>
        <w:rPr>
          <w:rFonts w:hint="default" w:ascii="Times New Roman" w:hAnsi="Times New Roman" w:eastAsia="仿宋_GB2312" w:cs="Times New Roman"/>
          <w:sz w:val="32"/>
          <w:szCs w:val="32"/>
          <w:lang w:val="en-US" w:eastAsia="zh-CN"/>
        </w:rPr>
        <w:t>利通区农业农村局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实施</w:t>
      </w:r>
      <w:r>
        <w:rPr>
          <w:rFonts w:hint="default" w:ascii="Times New Roman" w:hAnsi="Times New Roman" w:eastAsia="仿宋_GB2312" w:cs="Times New Roman"/>
          <w:b/>
          <w:bCs/>
          <w:sz w:val="32"/>
          <w:szCs w:val="32"/>
          <w:lang w:val="en-US" w:eastAsia="zh-CN"/>
        </w:rPr>
        <w:t>地点：</w:t>
      </w:r>
      <w:r>
        <w:rPr>
          <w:rFonts w:hint="default" w:ascii="Times New Roman" w:hAnsi="Times New Roman" w:eastAsia="仿宋_GB2312" w:cs="Times New Roman"/>
          <w:sz w:val="32"/>
          <w:szCs w:val="32"/>
          <w:lang w:val="en-US" w:eastAsia="zh-CN"/>
        </w:rPr>
        <w:t>利通区</w:t>
      </w:r>
      <w:r>
        <w:rPr>
          <w:rFonts w:hint="eastAsia" w:ascii="Times New Roman" w:hAnsi="Times New Roman" w:eastAsia="仿宋_GB2312" w:cs="Times New Roman"/>
          <w:sz w:val="32"/>
          <w:szCs w:val="32"/>
          <w:lang w:val="en-US" w:eastAsia="zh-CN"/>
        </w:rPr>
        <w:t>辖区内各农药经营门店、园区及种植大户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完成内容：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.依托遴选农废回收处置单位宁夏微米特农业开发有限公司对辖区所有</w:t>
      </w:r>
      <w:r>
        <w:rPr>
          <w:rFonts w:hint="eastAsia" w:ascii="Times New Roman" w:hAnsi="Times New Roman" w:eastAsia="仿宋_GB2312" w:cs="Times New Roman"/>
          <w:sz w:val="32"/>
          <w:szCs w:val="32"/>
          <w:lang w:val="en-US" w:eastAsia="zh-CN"/>
        </w:rPr>
        <w:t>农药经营门店、园区及种植大户</w:t>
      </w:r>
      <w:r>
        <w:rPr>
          <w:rFonts w:hint="eastAsia" w:ascii="仿宋_GB2312" w:hAnsi="仿宋_GB2312" w:eastAsia="仿宋_GB2312" w:cs="仿宋_GB2312"/>
          <w:kern w:val="2"/>
          <w:sz w:val="32"/>
          <w:szCs w:val="32"/>
          <w:lang w:val="en-US" w:eastAsia="zh-CN" w:bidi="ar-SA"/>
        </w:rPr>
        <w:t>回收单位回收的农药包装废弃物进行回收拉运。按照“应收尽收”原则，</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年共回收拉运农药包装废弃物</w:t>
      </w:r>
      <w:r>
        <w:rPr>
          <w:rFonts w:hint="default" w:ascii="Times New Roman" w:hAnsi="Times New Roman" w:eastAsia="仿宋_GB2312" w:cs="Times New Roman"/>
          <w:kern w:val="2"/>
          <w:sz w:val="32"/>
          <w:szCs w:val="32"/>
          <w:lang w:val="en-US" w:eastAsia="zh-CN" w:bidi="ar-SA"/>
        </w:rPr>
        <w:t>14.6</w:t>
      </w:r>
      <w:r>
        <w:rPr>
          <w:rFonts w:hint="eastAsia" w:ascii="仿宋_GB2312" w:hAnsi="仿宋_GB2312" w:eastAsia="仿宋_GB2312" w:cs="仿宋_GB2312"/>
          <w:kern w:val="2"/>
          <w:sz w:val="32"/>
          <w:szCs w:val="32"/>
          <w:lang w:val="en-US" w:eastAsia="zh-CN" w:bidi="ar-SA"/>
        </w:rPr>
        <w:t>吨，回收率达</w:t>
      </w:r>
      <w:r>
        <w:rPr>
          <w:rFonts w:hint="default" w:ascii="Times New Roman" w:hAnsi="Times New Roman" w:eastAsia="仿宋_GB2312" w:cs="Times New Roman"/>
          <w:kern w:val="2"/>
          <w:sz w:val="32"/>
          <w:szCs w:val="32"/>
          <w:lang w:val="en-US" w:eastAsia="zh-CN" w:bidi="ar-SA"/>
        </w:rPr>
        <w:t>95%</w:t>
      </w:r>
      <w:r>
        <w:rPr>
          <w:rFonts w:hint="eastAsia" w:ascii="仿宋_GB2312" w:hAnsi="仿宋_GB2312" w:eastAsia="仿宋_GB2312" w:cs="仿宋_GB2312"/>
          <w:kern w:val="2"/>
          <w:sz w:val="32"/>
          <w:szCs w:val="32"/>
          <w:lang w:val="en-US" w:eastAsia="zh-CN" w:bidi="ar-SA"/>
        </w:rPr>
        <w:t>以上，</w:t>
      </w:r>
      <w:r>
        <w:rPr>
          <w:rFonts w:hint="eastAsia" w:ascii="仿宋_GB2312" w:hAnsi="仿宋_GB2312" w:eastAsia="仿宋_GB2312" w:cs="仿宋_GB2312"/>
          <w:sz w:val="32"/>
          <w:szCs w:val="32"/>
          <w:lang w:val="en-US" w:eastAsia="zh-CN"/>
        </w:rPr>
        <w:t>有效降低了我区农药包装废弃物对环境及土壤水质污染。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.委托</w:t>
      </w:r>
      <w:r>
        <w:rPr>
          <w:rFonts w:hint="eastAsia" w:ascii="仿宋_GB2312" w:hAnsi="仿宋_GB2312" w:eastAsia="仿宋_GB2312" w:cs="仿宋_GB2312"/>
          <w:kern w:val="2"/>
          <w:sz w:val="32"/>
          <w:szCs w:val="32"/>
          <w:lang w:val="en-US" w:eastAsia="zh-CN" w:bidi="ar-SA"/>
        </w:rPr>
        <w:t>宁夏中科国通新能源有限公司对辖区内回收的</w:t>
      </w:r>
      <w:r>
        <w:rPr>
          <w:rFonts w:hint="default" w:ascii="Times New Roman" w:hAnsi="Times New Roman" w:eastAsia="仿宋_GB2312" w:cs="Times New Roman"/>
          <w:kern w:val="2"/>
          <w:sz w:val="32"/>
          <w:szCs w:val="32"/>
          <w:lang w:val="en-US" w:eastAsia="zh-CN" w:bidi="ar-SA"/>
        </w:rPr>
        <w:t>14.6</w:t>
      </w:r>
      <w:r>
        <w:rPr>
          <w:rFonts w:hint="eastAsia" w:ascii="仿宋_GB2312" w:hAnsi="仿宋_GB2312" w:eastAsia="仿宋_GB2312" w:cs="仿宋_GB2312"/>
          <w:kern w:val="2"/>
          <w:sz w:val="32"/>
          <w:szCs w:val="32"/>
          <w:lang w:val="en-US" w:eastAsia="zh-CN" w:bidi="ar-SA"/>
        </w:rPr>
        <w:t>吨农药包装废弃物进行处置，处置率达</w:t>
      </w:r>
      <w:r>
        <w:rPr>
          <w:rFonts w:hint="default" w:ascii="Times New Roman" w:hAnsi="Times New Roman" w:eastAsia="仿宋_GB2312" w:cs="Times New Roman"/>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为确保农业生产安全，</w:t>
      </w:r>
      <w:r>
        <w:rPr>
          <w:rFonts w:hint="eastAsia" w:ascii="仿宋_GB2312" w:hAnsi="仿宋_GB2312" w:eastAsia="仿宋_GB2312" w:cs="仿宋_GB2312"/>
          <w:kern w:val="2"/>
          <w:sz w:val="32"/>
          <w:szCs w:val="32"/>
          <w:lang w:val="en-US" w:eastAsia="zh-CN" w:bidi="ar-SA"/>
        </w:rPr>
        <w:t>委托宁夏微米特农业开发有限公司在利通区金银滩镇租赁</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处场地，作为县级农药包装废弃物回收储运点，</w:t>
      </w:r>
      <w:r>
        <w:rPr>
          <w:rFonts w:hint="eastAsia" w:ascii="仿宋_GB2312" w:hAnsi="仿宋_GB2312" w:eastAsia="仿宋_GB2312" w:cs="仿宋_GB2312"/>
          <w:sz w:val="32"/>
          <w:szCs w:val="32"/>
          <w:lang w:val="en-US" w:eastAsia="zh-CN"/>
        </w:rPr>
        <w:t>便于集中回收拉运各网点回收的农药包装废弃物回收储运工作</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.为进一步规范完善农药经营人员、门店、仓储及农药包装废弃物行为及设施设备，根据农业农村厅关于创建农药经营示范门店创建的要求，经审核利通区</w:t>
      </w:r>
      <w:r>
        <w:rPr>
          <w:rFonts w:hint="default"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年有</w:t>
      </w:r>
      <w:r>
        <w:rPr>
          <w:rFonts w:hint="default"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家农药经营门店被自治区农业农村厅授予示范门店,并由利通区农业农村局进行授牌。并购置了</w:t>
      </w:r>
      <w:r>
        <w:rPr>
          <w:rFonts w:hint="default" w:ascii="Times New Roman" w:hAnsi="Times New Roman" w:eastAsia="仿宋_GB2312" w:cs="Times New Roman"/>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个农药包装废弃物回收桶配置予各农药包装废弃物回收单位。</w:t>
      </w:r>
    </w:p>
    <w:p>
      <w:pPr>
        <w:pStyle w:val="2"/>
        <w:ind w:left="0" w:leftChars="0" w:firstLine="0" w:firstLineChars="0"/>
        <w:rPr>
          <w:rFonts w:hint="eastAsia" w:ascii="Times New Roman" w:hAnsi="Times New Roman" w:eastAsia="黑体" w:cs="Times New Roman"/>
          <w:color w:val="auto"/>
          <w:kern w:val="2"/>
          <w:sz w:val="32"/>
          <w:szCs w:val="32"/>
          <w:lang w:val="en-US" w:eastAsia="zh-CN" w:bidi="ar-SA"/>
        </w:rPr>
      </w:pPr>
    </w:p>
    <w:p>
      <w:pPr>
        <w:pStyle w:val="2"/>
        <w:ind w:left="0" w:leftChars="0" w:firstLine="0" w:firstLineChars="0"/>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附件2</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1"/>
        <w:gridCol w:w="1290"/>
        <w:gridCol w:w="1220"/>
        <w:gridCol w:w="1300"/>
        <w:gridCol w:w="131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7679" w:type="dxa"/>
            <w:gridSpan w:val="5"/>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 xml:space="preserve">   利通区2024年农药包装废弃物回收处理项目资金支付情况</w:t>
            </w:r>
          </w:p>
        </w:tc>
        <w:tc>
          <w:tcPr>
            <w:tcW w:w="571" w:type="dxa"/>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黑体" w:hAnsi="黑体" w:eastAsia="黑体" w:cs="黑体"/>
                <w:i w:val="0"/>
                <w:color w:val="000000"/>
                <w:kern w:val="0"/>
                <w:sz w:val="21"/>
                <w:szCs w:val="21"/>
                <w:u w:val="none"/>
                <w:lang w:val="en-US" w:eastAsia="zh-CN" w:bidi="ar"/>
              </w:rPr>
              <w:t>名称</w:t>
            </w:r>
          </w:p>
        </w:tc>
        <w:tc>
          <w:tcPr>
            <w:tcW w:w="1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黑体" w:hAnsi="黑体" w:eastAsia="黑体" w:cs="黑体"/>
                <w:i w:val="0"/>
                <w:color w:val="000000"/>
                <w:sz w:val="21"/>
                <w:szCs w:val="21"/>
                <w:u w:val="none"/>
                <w:lang w:eastAsia="zh-CN"/>
              </w:rPr>
              <w:t>类别</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黑体" w:hAnsi="黑体" w:eastAsia="黑体" w:cs="黑体"/>
                <w:i w:val="0"/>
                <w:color w:val="000000"/>
                <w:kern w:val="0"/>
                <w:sz w:val="21"/>
                <w:szCs w:val="21"/>
                <w:u w:val="none"/>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黑体" w:hAnsi="黑体" w:eastAsia="黑体" w:cs="黑体"/>
                <w:i w:val="0"/>
                <w:color w:val="000000"/>
                <w:sz w:val="21"/>
                <w:szCs w:val="21"/>
                <w:u w:val="none"/>
                <w:lang w:eastAsia="zh-CN"/>
              </w:rPr>
              <w:t>数量</w:t>
            </w:r>
          </w:p>
        </w:tc>
        <w:tc>
          <w:tcPr>
            <w:tcW w:w="13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黑体" w:hAnsi="黑体" w:eastAsia="黑体" w:cs="黑体"/>
                <w:i w:val="0"/>
                <w:color w:val="000000"/>
                <w:kern w:val="0"/>
                <w:sz w:val="21"/>
                <w:szCs w:val="21"/>
                <w:u w:val="none"/>
                <w:lang w:val="en-US" w:eastAsia="zh-CN" w:bidi="ar"/>
              </w:rPr>
              <w:t>合计（元）</w:t>
            </w:r>
          </w:p>
        </w:tc>
        <w:tc>
          <w:tcPr>
            <w:tcW w:w="5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宁夏微米特农业开发有限公司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拉运费</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2100元/吨</w:t>
            </w:r>
          </w:p>
        </w:tc>
        <w:tc>
          <w:tcPr>
            <w:tcW w:w="1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14.6吨</w:t>
            </w:r>
          </w:p>
        </w:tc>
        <w:tc>
          <w:tcPr>
            <w:tcW w:w="13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30660</w:t>
            </w:r>
          </w:p>
        </w:tc>
        <w:tc>
          <w:tcPr>
            <w:tcW w:w="5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宁夏微米特农业开发有限公司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劳务费</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250元/人</w:t>
            </w:r>
          </w:p>
        </w:tc>
        <w:tc>
          <w:tcPr>
            <w:tcW w:w="1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20天*2人</w:t>
            </w:r>
          </w:p>
        </w:tc>
        <w:tc>
          <w:tcPr>
            <w:tcW w:w="13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10000</w:t>
            </w:r>
          </w:p>
        </w:tc>
        <w:tc>
          <w:tcPr>
            <w:tcW w:w="5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宁夏中科国通新能源有限公司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处置费</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420元/吨</w:t>
            </w:r>
          </w:p>
        </w:tc>
        <w:tc>
          <w:tcPr>
            <w:tcW w:w="1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14.6吨</w:t>
            </w:r>
          </w:p>
        </w:tc>
        <w:tc>
          <w:tcPr>
            <w:tcW w:w="13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6132</w:t>
            </w:r>
          </w:p>
        </w:tc>
        <w:tc>
          <w:tcPr>
            <w:tcW w:w="5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吴忠市金戈广告有限公司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制作农药示范门店授牌费</w:t>
            </w:r>
          </w:p>
        </w:tc>
        <w:tc>
          <w:tcPr>
            <w:tcW w:w="122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80元/个</w:t>
            </w:r>
          </w:p>
        </w:tc>
        <w:tc>
          <w:tcPr>
            <w:tcW w:w="130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2个</w:t>
            </w:r>
          </w:p>
        </w:tc>
        <w:tc>
          <w:tcPr>
            <w:tcW w:w="13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160</w:t>
            </w:r>
          </w:p>
        </w:tc>
        <w:tc>
          <w:tcPr>
            <w:tcW w:w="5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val="en-US" w:eastAsia="zh-CN"/>
              </w:rPr>
              <w:t>吴忠市利通区德美密胺餐具批发部</w:t>
            </w:r>
          </w:p>
        </w:tc>
        <w:tc>
          <w:tcPr>
            <w:tcW w:w="1290" w:type="dxa"/>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农药包装废弃物回收桶</w:t>
            </w:r>
          </w:p>
        </w:tc>
        <w:tc>
          <w:tcPr>
            <w:tcW w:w="122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145元/个</w:t>
            </w:r>
          </w:p>
        </w:tc>
        <w:tc>
          <w:tcPr>
            <w:tcW w:w="13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100个</w:t>
            </w:r>
          </w:p>
        </w:tc>
        <w:tc>
          <w:tcPr>
            <w:tcW w:w="131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14500</w:t>
            </w:r>
          </w:p>
        </w:tc>
        <w:tc>
          <w:tcPr>
            <w:tcW w:w="571"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val="en-US" w:eastAsia="zh-CN"/>
              </w:rPr>
              <w:t>吴忠市金戈广告有限公司</w:t>
            </w:r>
          </w:p>
        </w:tc>
        <w:tc>
          <w:tcPr>
            <w:tcW w:w="1290" w:type="dxa"/>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农药包装废弃物回收标识</w:t>
            </w:r>
          </w:p>
        </w:tc>
        <w:tc>
          <w:tcPr>
            <w:tcW w:w="122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6元/个</w:t>
            </w:r>
          </w:p>
        </w:tc>
        <w:tc>
          <w:tcPr>
            <w:tcW w:w="13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400个</w:t>
            </w:r>
          </w:p>
        </w:tc>
        <w:tc>
          <w:tcPr>
            <w:tcW w:w="131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2400</w:t>
            </w:r>
          </w:p>
        </w:tc>
        <w:tc>
          <w:tcPr>
            <w:tcW w:w="571"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宁夏微米特农业开发有限公司</w:t>
            </w:r>
          </w:p>
        </w:tc>
        <w:tc>
          <w:tcPr>
            <w:tcW w:w="1290" w:type="dxa"/>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县级服务站租赁补贴</w:t>
            </w:r>
          </w:p>
        </w:tc>
        <w:tc>
          <w:tcPr>
            <w:tcW w:w="122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p>
        </w:tc>
        <w:tc>
          <w:tcPr>
            <w:tcW w:w="131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6000</w:t>
            </w:r>
          </w:p>
        </w:tc>
        <w:tc>
          <w:tcPr>
            <w:tcW w:w="571"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其他</w:t>
            </w:r>
          </w:p>
        </w:tc>
        <w:tc>
          <w:tcPr>
            <w:tcW w:w="1290" w:type="dxa"/>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22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31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148</w:t>
            </w:r>
          </w:p>
        </w:tc>
        <w:tc>
          <w:tcPr>
            <w:tcW w:w="571"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eastAsia="zh-CN"/>
              </w:rPr>
            </w:pPr>
          </w:p>
        </w:tc>
        <w:tc>
          <w:tcPr>
            <w:tcW w:w="1290" w:type="dxa"/>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22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3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31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71"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22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p>
        </w:tc>
        <w:tc>
          <w:tcPr>
            <w:tcW w:w="130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3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70000</w:t>
            </w:r>
          </w:p>
        </w:tc>
        <w:tc>
          <w:tcPr>
            <w:tcW w:w="5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i w:val="0"/>
                <w:color w:val="000000"/>
                <w:sz w:val="21"/>
                <w:szCs w:val="21"/>
                <w:u w:val="none"/>
              </w:rPr>
            </w:pPr>
          </w:p>
        </w:tc>
      </w:tr>
    </w:tbl>
    <w:p>
      <w:pPr>
        <w:pStyle w:val="2"/>
        <w:ind w:left="0" w:leftChars="0" w:firstLine="0" w:firstLineChars="0"/>
        <w:jc w:val="center"/>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bookmarkStart w:id="0" w:name="_GoBack"/>
      <w:bookmarkEnd w:id="0"/>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049"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1C064BAABLAwAADgAAAAAAAAABACAAAAA0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A2515"/>
    <w:rsid w:val="012B1233"/>
    <w:rsid w:val="02574FEE"/>
    <w:rsid w:val="032E6789"/>
    <w:rsid w:val="041E0931"/>
    <w:rsid w:val="05F51A75"/>
    <w:rsid w:val="060A6470"/>
    <w:rsid w:val="079877D7"/>
    <w:rsid w:val="0C171E16"/>
    <w:rsid w:val="0DC14E1F"/>
    <w:rsid w:val="0FEC02FE"/>
    <w:rsid w:val="108E7545"/>
    <w:rsid w:val="11A85AA5"/>
    <w:rsid w:val="18155868"/>
    <w:rsid w:val="193F7C0D"/>
    <w:rsid w:val="1B112793"/>
    <w:rsid w:val="1CA56800"/>
    <w:rsid w:val="1D8A111B"/>
    <w:rsid w:val="1EBA208B"/>
    <w:rsid w:val="1EF74942"/>
    <w:rsid w:val="202739B8"/>
    <w:rsid w:val="20CF4A3C"/>
    <w:rsid w:val="2203477E"/>
    <w:rsid w:val="220F293D"/>
    <w:rsid w:val="26353739"/>
    <w:rsid w:val="2A8C6814"/>
    <w:rsid w:val="2B966A97"/>
    <w:rsid w:val="2CA55EDB"/>
    <w:rsid w:val="2CDB451B"/>
    <w:rsid w:val="2DB260F1"/>
    <w:rsid w:val="2E546B93"/>
    <w:rsid w:val="2FBD1D5B"/>
    <w:rsid w:val="2FD349DA"/>
    <w:rsid w:val="32790D55"/>
    <w:rsid w:val="329A5B24"/>
    <w:rsid w:val="32E4457A"/>
    <w:rsid w:val="3360268B"/>
    <w:rsid w:val="33706AEE"/>
    <w:rsid w:val="34813672"/>
    <w:rsid w:val="36560F8D"/>
    <w:rsid w:val="36951926"/>
    <w:rsid w:val="37B9A9C7"/>
    <w:rsid w:val="3A0B3EBC"/>
    <w:rsid w:val="3E150E9A"/>
    <w:rsid w:val="415C4640"/>
    <w:rsid w:val="419975A4"/>
    <w:rsid w:val="42D82AE7"/>
    <w:rsid w:val="44FA0906"/>
    <w:rsid w:val="47533994"/>
    <w:rsid w:val="482D732E"/>
    <w:rsid w:val="48DA2515"/>
    <w:rsid w:val="49250D92"/>
    <w:rsid w:val="493E035F"/>
    <w:rsid w:val="4AD503AB"/>
    <w:rsid w:val="4B7D1599"/>
    <w:rsid w:val="4C246900"/>
    <w:rsid w:val="4CA63BD6"/>
    <w:rsid w:val="4E9A3190"/>
    <w:rsid w:val="517537BE"/>
    <w:rsid w:val="52735567"/>
    <w:rsid w:val="533F7AFC"/>
    <w:rsid w:val="550E7ABE"/>
    <w:rsid w:val="5686779F"/>
    <w:rsid w:val="570B174C"/>
    <w:rsid w:val="57D742C0"/>
    <w:rsid w:val="5AFF443C"/>
    <w:rsid w:val="5BB50B38"/>
    <w:rsid w:val="5D1642AD"/>
    <w:rsid w:val="62442C87"/>
    <w:rsid w:val="62BB090A"/>
    <w:rsid w:val="63AF0C1D"/>
    <w:rsid w:val="64F242E0"/>
    <w:rsid w:val="658627C8"/>
    <w:rsid w:val="66046ECD"/>
    <w:rsid w:val="680B184C"/>
    <w:rsid w:val="68783E28"/>
    <w:rsid w:val="68B8158B"/>
    <w:rsid w:val="69B56354"/>
    <w:rsid w:val="6A85252C"/>
    <w:rsid w:val="6ACF68A6"/>
    <w:rsid w:val="6C0B16F9"/>
    <w:rsid w:val="6E8922E5"/>
    <w:rsid w:val="6FA25FD7"/>
    <w:rsid w:val="6FF34268"/>
    <w:rsid w:val="7297275A"/>
    <w:rsid w:val="73B57EF6"/>
    <w:rsid w:val="750D41A3"/>
    <w:rsid w:val="752A4C24"/>
    <w:rsid w:val="76D76509"/>
    <w:rsid w:val="77D618E2"/>
    <w:rsid w:val="78AD1634"/>
    <w:rsid w:val="7C7D5D2C"/>
    <w:rsid w:val="7C7D6973"/>
    <w:rsid w:val="7CB73AC2"/>
    <w:rsid w:val="7D4359E6"/>
    <w:rsid w:val="7DEA7D95"/>
    <w:rsid w:val="7E142517"/>
    <w:rsid w:val="7E3547EE"/>
    <w:rsid w:val="7FECC117"/>
    <w:rsid w:val="7FEF4604"/>
    <w:rsid w:val="A7CBBFB0"/>
    <w:rsid w:val="AD7D7624"/>
    <w:rsid w:val="AEA7387B"/>
    <w:rsid w:val="DEFFFA00"/>
    <w:rsid w:val="EB096113"/>
    <w:rsid w:val="F7BDA5D7"/>
    <w:rsid w:val="F9F3C6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2017-11-08T00:28:00Z</dcterms:created>
  <dc:creator> Forever 21。</dc:creator>
  <cp:lastModifiedBy>利通区人民政府值班员</cp:lastModifiedBy>
  <cp:lastPrinted>2024-11-18T15:51:53Z</cp:lastPrinted>
  <dcterms:modified xsi:type="dcterms:W3CDTF">2024-11-19T09:15:16Z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2AC9739A36364F9A87B5FE49B67983C0</vt:lpwstr>
  </property>
</Properties>
</file>