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both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利通区2026年老旧小区完善改造实施方案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为进一步完善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城区范围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老旧小区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配套基础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及楼本体改造，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解决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年久失修、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管理机制不健全等问题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《中共中央办公厅 国务院办公厅关于持续推进城市更新行动的意见》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《国务院办公厅关于全面推进城镇老旧小区改造工作的指导意见》（国办发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〔2020〕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23号）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《宁夏回族自治区城镇老旧小区改造技术导则》（宁建（城）发〔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2023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6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及区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6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6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6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6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政府工作部署，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结合我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实际，特制定本实施方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更新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改造内容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（一）楼本体。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小区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内建筑物屋面、外墙、楼梯等公共部位维修等。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3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（二）小区配套基础设施。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小区内的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供排水、供电、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供暖、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供气、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充电桩、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弱电管线、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铺装硬化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无障碍设施、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消防、安防、路灯、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文体设施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、绿化等改造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3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（三）公共服务设施。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具备条件的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配套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幼教、康养、老年活动中心、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物业用房、共享图书室等公共服务设施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、改造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任务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完成朝阳家园、新一中家属院等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老旧小区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改造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涉及金星镇、胜利镇</w:t>
      </w:r>
      <w:r>
        <w:rPr>
          <w:rFonts w:hint="eastAsia" w:ascii="Times New Roman" w:hAnsi="Times New Roman" w:eastAsia="仿宋_GB2312" w:cs="Times New Roman"/>
          <w:color w:val="000000" w:themeColor="text1"/>
          <w:spacing w:val="-6"/>
          <w:sz w:val="32"/>
          <w:szCs w:val="32"/>
          <w:u w:val="none" w:color="auto"/>
          <w:lang w:val="en-US" w:eastAsia="zh-CN" w:bidi="ar-SA"/>
          <w14:textFill>
            <w14:solidFill>
              <w14:schemeClr w14:val="tx1"/>
            </w14:solidFill>
          </w14:textFill>
        </w:rPr>
        <w:t>82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栋楼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27.61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万平方米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受益群众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3247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户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25个老旧小区改造工程估算投资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8294.52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来源如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（一）中央预算内资金。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老旧小区完善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改造资金主要申请中央预算内资金，按照投资总额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%计算，共计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6636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3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（二）地方财政配套资金。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区财政负责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筹措地方配套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1658.52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3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（三）管线单位出资。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坚持“谁受益、谁出资”原则，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各管线单位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根据职能积极承担管线改造资金。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3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（四）居民出资。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按照“谁受益、谁出资”原则，鼓励居民出资参与老旧小区改造。来源可包括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居民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捐资、小区内公共停车和广告等收益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费用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，依法经业主委员会或居民自治小组同意，可用于小区改造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改造后的长效管理。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3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）社会化力量投资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。建立商业运作模式，鼓励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专业机构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医疗卫生、智能停车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、充电桩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快递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、社会资本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养老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、幼教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、超市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投资改造老旧小区配套基础设施，建成后的医疗卫生、养老、幼教等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管理运营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3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（一）摸底调查阶段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全面摸清底子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，区住建和交通局联合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老旧小区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配基础设施进行详细、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摸底调查，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调查小区的数量、面积、户数、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建成年代、需改造内容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等。乡镇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积极组织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相关工作人员深入老旧小区开展广泛宣传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及征求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居民改造意愿。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（二）确定小区阶段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区住建和交通局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乡镇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现状条件、居民意愿、资金筹集、初步改造方案可行性等方面，结合小区实际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财政承受能力，制定初步改造方案，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报区政府研究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，区分轻重缓急，统筹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改造计划。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（三）准备工作阶段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2至4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区住建和交通局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、发改局按照自治区住建厅、发改委的投资意向，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制定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老旧小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区改造工作方案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和项目申报文本，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申报争取项目补助资金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积极抓好项目招投标等前期工作。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（四）全面改造阶段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月份启动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月竣工的目标，具体组织实施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老旧小区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改造工程。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乡镇以及社区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在工程正式开工前先行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治理私搭乱建、清理绿地和楼间杂物等工作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（五）竣工验收阶段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区住建和交通局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牵头，区直相关部门、工程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承包单位、监理公司、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金星镇、胜利镇以及管线单位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等进行联合验收。对验收合格的小区，同步移交属地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，纳入社区管理。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（六）长效管理阶段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加强推进软建设，由</w:t>
      </w:r>
      <w:r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指导成立、完善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业主委员会，依法选聘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物业管理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服务企业。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小区业主委员会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和物业服务企业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按照长效管理方案，落实管理和服务，做到“改造一个、管好一个”。加强宣传指导，完善物业专项维修资金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使用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并形成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长效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3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（一）加强组织领导。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成立老旧小区改造工作领导小组，由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政府主要领导担任组长，区政府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分管领导担任副组长，区直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相关单位主要负责人为成员，负责统筹、协调、督查、考核等工作。领导小组下设办公室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，办公室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住建和交通局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，办公室主任由</w:t>
      </w:r>
      <w:r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区住建和交通局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局长兼任，负责统筹推进老旧小区改造工作，完成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领导小组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交办的其他工作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（二）明确职责分工。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发改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做好老旧小区改造项目的立项审批等工作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参与年度改造计划编制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、负责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争取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自治区发改委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补助资金。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财政局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负责落实和拨付中央、自治区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；负责筹措老旧小区改造工程地方配套资金。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住建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和交通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负责牵头制定老旧小区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改造计划，编制项目申报文本，争取中央、自治区项目补助资金；负责老旧小区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改造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工程招投标工作并组织实施，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工程竣工结算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；负责领导小组办公室的日常工作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金星镇、胜利镇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负责发动群众参与和化解矛盾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确保改造工程顺利实施，参与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制定辖区老旧小区改造计划、实施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方案，配合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组织实施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；负责老旧小区绿化补植工作，确保成活率；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推动老旧小区业委会组建，建立健全长效管理机制。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供电、供水、燃气、电信、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移动、联通等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市属单位和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老旧小区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改造</w:t>
      </w:r>
      <w:r>
        <w:rPr>
          <w:rFonts w:hint="default" w:ascii="Times New Roman" w:hAnsi="Times New Roman" w:eastAsia="仿宋_GB2312" w:cs="Times New Roman"/>
          <w:color w:val="000000" w:themeColor="text1"/>
          <w:spacing w:val="-11"/>
          <w:sz w:val="32"/>
          <w:szCs w:val="32"/>
          <w14:textFill>
            <w14:solidFill>
              <w14:schemeClr w14:val="tx1"/>
            </w14:solidFill>
          </w14:textFill>
        </w:rPr>
        <w:t>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left="0" w:leftChars="0" w:right="0" w:rightChars="0" w:firstLine="643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加强宣传引导，乡镇以及社区工作人员要积极宣传，运用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新闻媒体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、小区公示栏、横幅等途径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大力宣传老旧小区改造工作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引导居民积极配合参与改造工作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加强部门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乡镇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协调联动，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建立工作例会、信息报送、定期通报、巡查督查等制度，及时研究、协调解决有关重大事项和问题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，确保项目顺利推进并取得良好成效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主动接受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各级人大代表、政协委员、社会各界群众监督检查老旧小区改造工作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，对提出的问题，结合实际情况，积极有效改进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区委督查室、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政府督查室牵头对老旧小区施工全过程进行督查，严把施工节点和工程质量，确保按时序推进，保质保量完成。</w:t>
      </w:r>
    </w:p>
    <w:p>
      <w:pPr>
        <w:pStyle w:val="2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NDMxYzEyYWQzNDU5NDRhNGQzZjFmZjBlZGU2NzYifQ=="/>
  </w:docVars>
  <w:rsids>
    <w:rsidRoot w:val="032B6524"/>
    <w:rsid w:val="02686C49"/>
    <w:rsid w:val="02AF1166"/>
    <w:rsid w:val="032B6524"/>
    <w:rsid w:val="04727A0B"/>
    <w:rsid w:val="0512685A"/>
    <w:rsid w:val="08EB6C4F"/>
    <w:rsid w:val="0A3B43A5"/>
    <w:rsid w:val="116D38FB"/>
    <w:rsid w:val="117E31F3"/>
    <w:rsid w:val="13565C8C"/>
    <w:rsid w:val="17F82819"/>
    <w:rsid w:val="21276695"/>
    <w:rsid w:val="220B1C2D"/>
    <w:rsid w:val="23A012DB"/>
    <w:rsid w:val="25620DCF"/>
    <w:rsid w:val="295915F7"/>
    <w:rsid w:val="2D455153"/>
    <w:rsid w:val="2E752034"/>
    <w:rsid w:val="2FB77156"/>
    <w:rsid w:val="33866EEB"/>
    <w:rsid w:val="339D591A"/>
    <w:rsid w:val="33D22636"/>
    <w:rsid w:val="36887C15"/>
    <w:rsid w:val="3823541C"/>
    <w:rsid w:val="3A8F58A3"/>
    <w:rsid w:val="3C4F6761"/>
    <w:rsid w:val="3ECA7AEB"/>
    <w:rsid w:val="44531082"/>
    <w:rsid w:val="45F363FD"/>
    <w:rsid w:val="488F7929"/>
    <w:rsid w:val="49693E74"/>
    <w:rsid w:val="497110CE"/>
    <w:rsid w:val="4C742E36"/>
    <w:rsid w:val="51652C53"/>
    <w:rsid w:val="53305AE2"/>
    <w:rsid w:val="569533E6"/>
    <w:rsid w:val="5AAF469B"/>
    <w:rsid w:val="5C166CB5"/>
    <w:rsid w:val="5EEF6D7E"/>
    <w:rsid w:val="5FD51375"/>
    <w:rsid w:val="610C68D8"/>
    <w:rsid w:val="61BF7DEE"/>
    <w:rsid w:val="630F1D0F"/>
    <w:rsid w:val="65123022"/>
    <w:rsid w:val="67405EDA"/>
    <w:rsid w:val="6E830185"/>
    <w:rsid w:val="6F9D289E"/>
    <w:rsid w:val="73FF4E16"/>
    <w:rsid w:val="74272160"/>
    <w:rsid w:val="75F6160D"/>
    <w:rsid w:val="77C332D9"/>
    <w:rsid w:val="79983CE7"/>
    <w:rsid w:val="7BFF05D6"/>
    <w:rsid w:val="7CA53A11"/>
    <w:rsid w:val="7FA37548"/>
    <w:rsid w:val="EEDCDDBE"/>
    <w:rsid w:val="EFFF2E79"/>
    <w:rsid w:val="FA59FDBF"/>
    <w:rsid w:val="FDBD8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+2"/>
    <w:basedOn w:val="1"/>
    <w:qFormat/>
    <w:uiPriority w:val="0"/>
    <w:pPr>
      <w:tabs>
        <w:tab w:val="left" w:pos="640"/>
      </w:tabs>
      <w:ind w:firstLine="200" w:firstLineChars="200"/>
    </w:pPr>
    <w:rPr>
      <w:rFonts w:ascii="Calibri" w:hAnsi="Calibri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customStyle="1" w:styleId="11">
    <w:name w:val="正文-啊"/>
    <w:qFormat/>
    <w:uiPriority w:val="0"/>
    <w:pPr>
      <w:widowControl w:val="0"/>
      <w:spacing w:beforeLines="100" w:line="276" w:lineRule="auto"/>
      <w:ind w:left="210" w:right="210" w:firstLine="600"/>
      <w:contextualSpacing/>
      <w:jc w:val="both"/>
    </w:pPr>
    <w:rPr>
      <w:rFonts w:ascii="微软雅黑" w:hAnsi="微软雅黑" w:eastAsia="微软雅黑" w:cs="Times New Roman"/>
      <w:color w:val="000000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2414</Words>
  <Characters>2481</Characters>
  <Lines>0</Lines>
  <Paragraphs>0</Paragraphs>
  <TotalTime>2</TotalTime>
  <ScaleCrop>false</ScaleCrop>
  <LinksUpToDate>false</LinksUpToDate>
  <CharactersWithSpaces>2496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2021-12-29T23:51:00Z</dcterms:created>
  <dc:creator>Funky</dc:creator>
  <cp:lastModifiedBy>ltq</cp:lastModifiedBy>
  <cp:lastPrinted>2026-02-12T20:01:00Z</cp:lastPrinted>
  <dcterms:modified xsi:type="dcterms:W3CDTF">2026-02-13T16:03:42Z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87CF502789A54E31A452E0B999F9018A_13</vt:lpwstr>
  </property>
  <property fmtid="{D5CDD505-2E9C-101B-9397-08002B2CF9AE}" pid="4" name="KSOTemplateDocerSaveRecord">
    <vt:lpwstr>eyJoZGlkIjoiODJhMTNhMDE4NzhjNThjYTY3MWVjMDM4NTk0NmZkOTQiLCJ1c2VySWQiOiI2MTUzMzc1NzAifQ==</vt:lpwstr>
  </property>
</Properties>
</file>