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sz w:val="44"/>
          <w:szCs w:val="44"/>
          <w:lang w:eastAsia="zh-CN"/>
        </w:rPr>
        <w:t>吴忠市</w:t>
      </w:r>
      <w:r>
        <w:rPr>
          <w:rFonts w:hint="eastAsia" w:ascii="方正小标宋_GBK" w:hAnsi="方正小标宋_GBK" w:eastAsia="方正小标宋_GBK" w:cs="方正小标宋_GBK"/>
          <w:spacing w:val="-11"/>
          <w:sz w:val="44"/>
          <w:szCs w:val="44"/>
        </w:rPr>
        <w:t>利通区“十五五”养老服务体系建设规划</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小标宋_GBK"/>
          <w:b w:val="0"/>
          <w:bCs/>
          <w:lang w:val="en-US" w:eastAsia="zh-CN"/>
        </w:rPr>
      </w:pPr>
      <w:r>
        <w:rPr>
          <w:rFonts w:hint="eastAsia" w:ascii="方正小标宋_GBK" w:hAnsi="方正小标宋_GBK" w:eastAsia="方正小标宋_GBK" w:cs="方正小标宋_GBK"/>
          <w:b w:val="0"/>
          <w:bCs/>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bookmarkStart w:id="0" w:name="_GoBack"/>
      <w:r>
        <w:rPr>
          <w:rFonts w:hint="default" w:ascii="Times New Roman" w:hAnsi="Times New Roman" w:eastAsia="仿宋_GB2312" w:cs="Times New Roman"/>
          <w:sz w:val="32"/>
          <w:szCs w:val="32"/>
        </w:rPr>
        <w:t>为推动“十</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五”时期我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养老服务体系高质量发展，</w:t>
      </w:r>
      <w:r>
        <w:rPr>
          <w:rFonts w:hint="default" w:ascii="Times New Roman" w:hAnsi="Times New Roman" w:eastAsia="仿宋_GB2312" w:cs="Times New Roman"/>
          <w:sz w:val="32"/>
          <w:szCs w:val="32"/>
          <w:lang w:eastAsia="zh-CN"/>
        </w:rPr>
        <w:t>积极应对人口老龄化，加快构建居家社区机构相协调、医养康养相结合的养老服务体系，保障老年人享有基本养老服务，有效满足多样化、多层次养老服务需求，</w:t>
      </w:r>
      <w:r>
        <w:rPr>
          <w:rFonts w:hint="default" w:ascii="Times New Roman" w:hAnsi="Times New Roman" w:eastAsia="仿宋_GB2312" w:cs="Times New Roman"/>
          <w:sz w:val="32"/>
          <w:szCs w:val="32"/>
        </w:rPr>
        <w:t>根据《国家积极应对人口老龄化中长期规划》</w:t>
      </w:r>
      <w:r>
        <w:rPr>
          <w:rFonts w:hint="default" w:ascii="Times New Roman" w:hAnsi="Times New Roman" w:eastAsia="仿宋_GB2312" w:cs="Times New Roman"/>
          <w:sz w:val="32"/>
          <w:szCs w:val="32"/>
          <w:lang w:eastAsia="zh-CN"/>
        </w:rPr>
        <w:t>《“十四五”国家老龄事业发展和养老服务体系规划》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宁夏回族自治区国民经济和社会发展第十</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个五年规划和二</w:t>
      </w:r>
      <w:r>
        <w:rPr>
          <w:rFonts w:hint="default" w:ascii="Times New Roman" w:hAnsi="Times New Roman" w:eastAsia="仿宋_GB2312" w:cs="Times New Roman"/>
          <w:sz w:val="32"/>
          <w:szCs w:val="32"/>
          <w:lang w:val="en-US" w:eastAsia="zh-CN"/>
        </w:rPr>
        <w:t>0三五年远景目标纲要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《宁夏回族自治区养老服务促进条例》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宁夏回族自治区老年人权益保障条例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和自治区</w:t>
      </w:r>
      <w:r>
        <w:rPr>
          <w:rFonts w:hint="eastAsia" w:ascii="Times New Roman" w:hAnsi="Times New Roman" w:eastAsia="仿宋_GB2312" w:cs="Times New Roman"/>
          <w:sz w:val="32"/>
          <w:szCs w:val="32"/>
          <w:lang w:val="en-US" w:eastAsia="zh-CN"/>
        </w:rPr>
        <w:t xml:space="preserve">党委 </w:t>
      </w:r>
      <w:r>
        <w:rPr>
          <w:rFonts w:hint="default" w:ascii="Times New Roman" w:hAnsi="Times New Roman" w:eastAsia="仿宋_GB2312" w:cs="Times New Roman"/>
          <w:sz w:val="32"/>
          <w:szCs w:val="32"/>
          <w:lang w:eastAsia="zh-CN"/>
        </w:rPr>
        <w:t>人民政府印发《</w:t>
      </w:r>
      <w:r>
        <w:rPr>
          <w:rFonts w:hint="eastAsia" w:ascii="Times New Roman" w:hAnsi="Times New Roman" w:eastAsia="仿宋_GB2312" w:cs="Times New Roman"/>
          <w:sz w:val="32"/>
          <w:szCs w:val="32"/>
          <w:lang w:val="en-US" w:eastAsia="zh-CN"/>
        </w:rPr>
        <w:t>关于进一步推动养老服务高质量发展的实施意见</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结合我区实际，特</w:t>
      </w:r>
      <w:r>
        <w:rPr>
          <w:rFonts w:hint="default" w:ascii="Times New Roman" w:hAnsi="Times New Roman" w:eastAsia="仿宋_GB2312" w:cs="Times New Roman"/>
          <w:sz w:val="32"/>
          <w:szCs w:val="32"/>
        </w:rPr>
        <w:t>制定本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的规划期为202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年至20</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一、现实基础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rPr>
        <w:t>发展基础</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outlineLvl w:val="9"/>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“十</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五”以来，在习近平新时代中国特色社会主义思想指引下，</w:t>
      </w:r>
      <w:r>
        <w:rPr>
          <w:rFonts w:hint="eastAsia" w:ascii="仿宋_GB2312" w:hAnsi="仿宋_GB2312" w:eastAsia="仿宋_GB2312" w:cs="仿宋_GB2312"/>
          <w:spacing w:val="4"/>
          <w:sz w:val="32"/>
          <w:szCs w:val="32"/>
          <w:lang w:val="en-US" w:eastAsia="zh-CN"/>
        </w:rPr>
        <w:t>制定印发了</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auto"/>
          <w:spacing w:val="0"/>
          <w:sz w:val="32"/>
          <w:szCs w:val="32"/>
          <w:lang w:val="en-US" w:eastAsia="zh-CN"/>
        </w:rPr>
        <w:t>吴忠市利通区养老服务体系建设“十四五”规划</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吴利政办发〔2022〕41号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pacing w:val="4"/>
          <w:sz w:val="32"/>
          <w:szCs w:val="32"/>
          <w:lang w:val="en-US" w:eastAsia="zh-CN"/>
        </w:rPr>
        <w:t>吴忠市利通区关于推进养老服务高质量发展实施方案</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吴利政办发〔2021〕65号</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，连续</w:t>
      </w:r>
      <w:r>
        <w:rPr>
          <w:rFonts w:hint="eastAsia" w:ascii="仿宋_GB2312" w:hAnsi="仿宋_GB2312" w:eastAsia="仿宋_GB2312" w:cs="仿宋_GB2312"/>
          <w:spacing w:val="4"/>
          <w:sz w:val="32"/>
          <w:szCs w:val="32"/>
          <w:lang w:val="en-US" w:eastAsia="zh-CN"/>
        </w:rPr>
        <w:t>9</w:t>
      </w:r>
      <w:r>
        <w:rPr>
          <w:rFonts w:hint="eastAsia" w:ascii="仿宋_GB2312" w:hAnsi="仿宋_GB2312" w:eastAsia="仿宋_GB2312" w:cs="仿宋_GB2312"/>
          <w:spacing w:val="4"/>
          <w:sz w:val="32"/>
          <w:szCs w:val="32"/>
        </w:rPr>
        <w:t>年将养老服务列入政府民生实事工程，养老服务的硬件设施更加完善，以居家为基础、社区为依托、机构为支撑、医养相结合的多层次养老服务体系初步形成，老年人安全感幸福感日益增强</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b/>
          <w:bCs/>
          <w:sz w:val="32"/>
          <w:szCs w:val="32"/>
        </w:rPr>
        <w:t>居家养老服务提能增效。</w:t>
      </w:r>
      <w:r>
        <w:rPr>
          <w:rFonts w:hint="default" w:ascii="Times New Roman" w:hAnsi="Times New Roman" w:eastAsia="仿宋_GB2312" w:cs="Times New Roman"/>
          <w:spacing w:val="6"/>
          <w:sz w:val="32"/>
          <w:szCs w:val="32"/>
        </w:rPr>
        <w:t>全面落实社区养老服务配套用房，建有</w:t>
      </w:r>
      <w:r>
        <w:rPr>
          <w:rFonts w:hint="default" w:ascii="Times New Roman" w:hAnsi="Times New Roman" w:eastAsia="仿宋_GB2312" w:cs="Times New Roman"/>
          <w:spacing w:val="6"/>
          <w:sz w:val="32"/>
          <w:szCs w:val="32"/>
          <w:lang w:val="en-US" w:eastAsia="zh-CN"/>
        </w:rPr>
        <w:t>城市社区日间照料中心18</w:t>
      </w:r>
      <w:r>
        <w:rPr>
          <w:rFonts w:hint="default" w:ascii="Times New Roman" w:hAnsi="Times New Roman" w:eastAsia="仿宋_GB2312" w:cs="Times New Roman"/>
          <w:spacing w:val="6"/>
          <w:sz w:val="32"/>
          <w:szCs w:val="32"/>
        </w:rPr>
        <w:t>个</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社区老年人助餐点6个</w:t>
      </w:r>
      <w:r>
        <w:rPr>
          <w:rFonts w:hint="default"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社区养老服务站2个、</w:t>
      </w:r>
      <w:r>
        <w:rPr>
          <w:rFonts w:hint="default" w:ascii="Times New Roman" w:hAnsi="Times New Roman" w:eastAsia="仿宋_GB2312" w:cs="Times New Roman"/>
          <w:spacing w:val="6"/>
          <w:sz w:val="32"/>
          <w:szCs w:val="32"/>
          <w:lang w:val="en-US" w:eastAsia="zh-CN"/>
        </w:rPr>
        <w:t>农村老饭桌</w:t>
      </w:r>
      <w:r>
        <w:rPr>
          <w:rFonts w:hint="eastAsia" w:ascii="Times New Roman" w:hAnsi="Times New Roman" w:eastAsia="仿宋_GB2312" w:cs="Times New Roman"/>
          <w:spacing w:val="6"/>
          <w:sz w:val="32"/>
          <w:szCs w:val="32"/>
          <w:lang w:val="en-US" w:eastAsia="zh-CN"/>
        </w:rPr>
        <w:t>46</w:t>
      </w:r>
      <w:r>
        <w:rPr>
          <w:rFonts w:hint="default" w:ascii="Times New Roman" w:hAnsi="Times New Roman" w:eastAsia="仿宋_GB2312" w:cs="Times New Roman"/>
          <w:spacing w:val="6"/>
          <w:sz w:val="32"/>
          <w:szCs w:val="32"/>
          <w:lang w:val="en-US" w:eastAsia="zh-CN"/>
        </w:rPr>
        <w:t>个、农村幸福院</w:t>
      </w:r>
      <w:r>
        <w:rPr>
          <w:rFonts w:hint="eastAsia" w:ascii="Times New Roman" w:hAnsi="Times New Roman" w:eastAsia="仿宋_GB2312" w:cs="Times New Roman"/>
          <w:spacing w:val="6"/>
          <w:sz w:val="32"/>
          <w:szCs w:val="32"/>
          <w:lang w:val="en-US" w:eastAsia="zh-CN"/>
        </w:rPr>
        <w:t>27</w:t>
      </w:r>
      <w:r>
        <w:rPr>
          <w:rFonts w:hint="default" w:ascii="Times New Roman" w:hAnsi="Times New Roman" w:eastAsia="仿宋_GB2312" w:cs="Times New Roman"/>
          <w:spacing w:val="6"/>
          <w:sz w:val="32"/>
          <w:szCs w:val="32"/>
          <w:lang w:val="en-US" w:eastAsia="zh-CN"/>
        </w:rPr>
        <w:t>个</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统筹推进老旧小区改造，</w:t>
      </w:r>
      <w:r>
        <w:rPr>
          <w:rFonts w:hint="default" w:ascii="Times New Roman" w:hAnsi="Times New Roman" w:eastAsia="仿宋_GB2312" w:cs="Times New Roman"/>
          <w:spacing w:val="6"/>
          <w:sz w:val="32"/>
          <w:szCs w:val="32"/>
          <w:lang w:val="en-US" w:eastAsia="zh-CN"/>
        </w:rPr>
        <w:t>新建小区必须配建养老服务设施，</w:t>
      </w:r>
      <w:r>
        <w:rPr>
          <w:rFonts w:hint="default" w:ascii="Times New Roman" w:hAnsi="Times New Roman" w:eastAsia="仿宋_GB2312" w:cs="Times New Roman"/>
          <w:spacing w:val="6"/>
          <w:sz w:val="32"/>
          <w:szCs w:val="32"/>
        </w:rPr>
        <w:t>为</w:t>
      </w:r>
      <w:r>
        <w:rPr>
          <w:rFonts w:hint="eastAsia" w:ascii="Times New Roman" w:hAnsi="Times New Roman" w:eastAsia="仿宋_GB2312" w:cs="Times New Roman"/>
          <w:spacing w:val="6"/>
          <w:sz w:val="32"/>
          <w:szCs w:val="32"/>
          <w:lang w:val="en-US" w:eastAsia="zh-CN"/>
        </w:rPr>
        <w:t>983</w:t>
      </w:r>
      <w:r>
        <w:rPr>
          <w:rFonts w:hint="default" w:ascii="Times New Roman" w:hAnsi="Times New Roman" w:eastAsia="仿宋_GB2312" w:cs="Times New Roman"/>
          <w:spacing w:val="6"/>
          <w:sz w:val="32"/>
          <w:szCs w:val="32"/>
        </w:rPr>
        <w:t>户困难老年人家庭免费实施适老化改造</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率先推进“爱心车轮”老年助餐模式，为所有</w:t>
      </w:r>
      <w:r>
        <w:rPr>
          <w:rFonts w:hint="default" w:ascii="Times New Roman" w:hAnsi="Times New Roman" w:eastAsia="仿宋_GB2312" w:cs="Times New Roman"/>
          <w:spacing w:val="6"/>
          <w:sz w:val="32"/>
          <w:szCs w:val="32"/>
          <w:lang w:val="en-US" w:eastAsia="zh-CN"/>
        </w:rPr>
        <w:t>生活不能自理的困难老年人</w:t>
      </w:r>
      <w:r>
        <w:rPr>
          <w:rFonts w:hint="default" w:ascii="Times New Roman" w:hAnsi="Times New Roman" w:eastAsia="仿宋_GB2312" w:cs="Times New Roman"/>
          <w:spacing w:val="6"/>
          <w:sz w:val="32"/>
          <w:szCs w:val="32"/>
        </w:rPr>
        <w:t>送餐</w:t>
      </w:r>
      <w:r>
        <w:rPr>
          <w:rFonts w:hint="default" w:ascii="Times New Roman" w:hAnsi="Times New Roman" w:eastAsia="仿宋_GB2312" w:cs="Times New Roman"/>
          <w:spacing w:val="6"/>
          <w:sz w:val="32"/>
          <w:szCs w:val="32"/>
          <w:lang w:val="en-US" w:eastAsia="zh-CN"/>
        </w:rPr>
        <w:t>上门</w:t>
      </w:r>
      <w:r>
        <w:rPr>
          <w:rFonts w:hint="default" w:ascii="Times New Roman" w:hAnsi="Times New Roman" w:eastAsia="仿宋_GB2312" w:cs="Times New Roman"/>
          <w:spacing w:val="6"/>
          <w:sz w:val="32"/>
          <w:szCs w:val="32"/>
        </w:rPr>
        <w:t>，每天</w:t>
      </w:r>
      <w:r>
        <w:rPr>
          <w:rFonts w:hint="default" w:ascii="Times New Roman" w:hAnsi="Times New Roman" w:eastAsia="仿宋_GB2312" w:cs="Times New Roman"/>
          <w:spacing w:val="6"/>
          <w:sz w:val="32"/>
          <w:szCs w:val="32"/>
          <w:lang w:val="en-US" w:eastAsia="zh-CN"/>
        </w:rPr>
        <w:t>近500</w:t>
      </w:r>
      <w:r>
        <w:rPr>
          <w:rFonts w:hint="default" w:ascii="Times New Roman" w:hAnsi="Times New Roman" w:eastAsia="仿宋_GB2312" w:cs="Times New Roman"/>
          <w:spacing w:val="6"/>
          <w:sz w:val="32"/>
          <w:szCs w:val="32"/>
        </w:rPr>
        <w:t>名</w:t>
      </w:r>
      <w:r>
        <w:rPr>
          <w:rFonts w:hint="eastAsia" w:ascii="Times New Roman" w:hAnsi="Times New Roman" w:eastAsia="仿宋_GB2312" w:cs="Times New Roman"/>
          <w:spacing w:val="6"/>
          <w:sz w:val="32"/>
          <w:szCs w:val="32"/>
          <w:lang w:val="en-US" w:eastAsia="zh-CN"/>
        </w:rPr>
        <w:t>困难</w:t>
      </w:r>
      <w:r>
        <w:rPr>
          <w:rFonts w:hint="default" w:ascii="Times New Roman" w:hAnsi="Times New Roman" w:eastAsia="仿宋_GB2312" w:cs="Times New Roman"/>
          <w:spacing w:val="6"/>
          <w:sz w:val="32"/>
          <w:szCs w:val="32"/>
        </w:rPr>
        <w:t>老年人享受助餐服务，覆盖</w:t>
      </w:r>
      <w:r>
        <w:rPr>
          <w:rFonts w:hint="eastAsia" w:ascii="Times New Roman" w:hAnsi="Times New Roman" w:eastAsia="仿宋_GB2312" w:cs="Times New Roman"/>
          <w:spacing w:val="6"/>
          <w:sz w:val="32"/>
          <w:szCs w:val="32"/>
          <w:lang w:val="en-US" w:eastAsia="zh-CN"/>
        </w:rPr>
        <w:t>53</w:t>
      </w:r>
      <w:r>
        <w:rPr>
          <w:rFonts w:hint="default" w:ascii="Times New Roman" w:hAnsi="Times New Roman" w:eastAsia="仿宋_GB2312" w:cs="Times New Roman"/>
          <w:spacing w:val="6"/>
          <w:sz w:val="32"/>
          <w:szCs w:val="32"/>
        </w:rPr>
        <w:t>％村（社区）。在</w:t>
      </w:r>
      <w:r>
        <w:rPr>
          <w:rFonts w:hint="eastAsia" w:ascii="Times New Roman" w:hAnsi="Times New Roman" w:eastAsia="仿宋_GB2312" w:cs="Times New Roman"/>
          <w:spacing w:val="6"/>
          <w:sz w:val="32"/>
          <w:szCs w:val="32"/>
          <w:lang w:val="en-US" w:eastAsia="zh-CN"/>
        </w:rPr>
        <w:t>11</w:t>
      </w:r>
      <w:r>
        <w:rPr>
          <w:rFonts w:hint="default" w:ascii="Times New Roman" w:hAnsi="Times New Roman" w:eastAsia="仿宋_GB2312" w:cs="Times New Roman"/>
          <w:spacing w:val="6"/>
          <w:sz w:val="32"/>
          <w:szCs w:val="32"/>
        </w:rPr>
        <w:t>个</w:t>
      </w:r>
      <w:r>
        <w:rPr>
          <w:rFonts w:hint="default" w:ascii="Times New Roman" w:hAnsi="Times New Roman" w:eastAsia="仿宋_GB2312" w:cs="Times New Roman"/>
          <w:spacing w:val="6"/>
          <w:sz w:val="32"/>
          <w:szCs w:val="32"/>
          <w:lang w:val="en-US" w:eastAsia="zh-CN"/>
        </w:rPr>
        <w:t>社区日间照料</w:t>
      </w:r>
      <w:r>
        <w:rPr>
          <w:rFonts w:hint="default" w:ascii="Times New Roman" w:hAnsi="Times New Roman" w:eastAsia="仿宋_GB2312" w:cs="Times New Roman"/>
          <w:spacing w:val="6"/>
          <w:sz w:val="32"/>
          <w:szCs w:val="32"/>
        </w:rPr>
        <w:t>中心设置老年大学教学点，老年人在老年大学学习。所有居家养老服务机构与基层医疗卫生服务机构签约</w:t>
      </w:r>
      <w:r>
        <w:rPr>
          <w:rFonts w:hint="default"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机构养老服务量质齐升。</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共</w:t>
      </w:r>
      <w:r>
        <w:rPr>
          <w:rFonts w:hint="eastAsia" w:ascii="Times New Roman" w:hAnsi="Times New Roman" w:eastAsia="仿宋_GB2312" w:cs="Times New Roman"/>
          <w:sz w:val="32"/>
          <w:szCs w:val="32"/>
          <w:lang w:val="en-US" w:eastAsia="zh-CN"/>
        </w:rPr>
        <w:t>建</w:t>
      </w:r>
      <w:r>
        <w:rPr>
          <w:rFonts w:hint="default" w:ascii="Times New Roman" w:hAnsi="Times New Roman" w:eastAsia="仿宋_GB2312" w:cs="Times New Roman"/>
          <w:sz w:val="32"/>
          <w:szCs w:val="32"/>
        </w:rPr>
        <w:t>有</w:t>
      </w:r>
      <w:r>
        <w:rPr>
          <w:rFonts w:hint="eastAsia" w:ascii="Times New Roman" w:hAnsi="Times New Roman" w:eastAsia="仿宋_GB2312" w:cs="Times New Roman"/>
          <w:sz w:val="32"/>
          <w:szCs w:val="32"/>
          <w:lang w:val="en-US" w:eastAsia="zh-CN"/>
        </w:rPr>
        <w:t>各类</w:t>
      </w:r>
      <w:r>
        <w:rPr>
          <w:rFonts w:hint="default" w:ascii="Times New Roman" w:hAnsi="Times New Roman" w:eastAsia="仿宋_GB2312" w:cs="Times New Roman"/>
          <w:sz w:val="32"/>
          <w:szCs w:val="32"/>
        </w:rPr>
        <w:t>养老机构</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家，其中</w:t>
      </w:r>
      <w:r>
        <w:rPr>
          <w:rFonts w:hint="default" w:ascii="Times New Roman" w:hAnsi="Times New Roman" w:eastAsia="仿宋_GB2312" w:cs="Times New Roman"/>
          <w:sz w:val="32"/>
          <w:szCs w:val="32"/>
          <w:lang w:val="en-US" w:eastAsia="zh-CN"/>
        </w:rPr>
        <w:t>民办养老机构</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val="en-US" w:eastAsia="zh-CN"/>
        </w:rPr>
        <w:t>公建民营养老机构1家，</w:t>
      </w:r>
      <w:r>
        <w:rPr>
          <w:rFonts w:hint="eastAsia" w:ascii="Times New Roman" w:hAnsi="Times New Roman" w:eastAsia="仿宋_GB2312" w:cs="Times New Roman"/>
          <w:sz w:val="32"/>
          <w:szCs w:val="32"/>
          <w:lang w:val="en-US" w:eastAsia="zh-CN"/>
        </w:rPr>
        <w:t>乡镇综合养老服务中心3家，</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社会养老床位</w:t>
      </w:r>
      <w:r>
        <w:rPr>
          <w:rFonts w:hint="eastAsia" w:ascii="Times New Roman" w:hAnsi="Times New Roman" w:eastAsia="仿宋_GB2312" w:cs="Times New Roman"/>
          <w:sz w:val="32"/>
          <w:szCs w:val="32"/>
          <w:lang w:val="en-US" w:eastAsia="zh-CN"/>
        </w:rPr>
        <w:t>583</w:t>
      </w:r>
      <w:r>
        <w:rPr>
          <w:rFonts w:hint="default" w:ascii="Times New Roman" w:hAnsi="Times New Roman" w:eastAsia="仿宋_GB2312" w:cs="Times New Roman"/>
          <w:sz w:val="32"/>
          <w:szCs w:val="32"/>
        </w:rPr>
        <w:t>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lang w:val="en-US" w:eastAsia="zh-CN"/>
        </w:rPr>
        <w:t>千名</w:t>
      </w:r>
      <w:r>
        <w:rPr>
          <w:rFonts w:hint="default" w:ascii="Times New Roman" w:hAnsi="Times New Roman" w:eastAsia="仿宋_GB2312" w:cs="Times New Roman"/>
          <w:sz w:val="32"/>
          <w:szCs w:val="32"/>
        </w:rPr>
        <w:t>老人拥有养老床位数</w:t>
      </w:r>
      <w:r>
        <w:rPr>
          <w:rFonts w:hint="eastAsia" w:ascii="Times New Roman" w:hAnsi="Times New Roman" w:eastAsia="仿宋_GB2312" w:cs="Times New Roman"/>
          <w:sz w:val="32"/>
          <w:szCs w:val="32"/>
          <w:lang w:val="en-US" w:eastAsia="zh-CN"/>
        </w:rPr>
        <w:t>36.7</w:t>
      </w:r>
      <w:r>
        <w:rPr>
          <w:rFonts w:hint="default" w:ascii="Times New Roman" w:hAnsi="Times New Roman" w:eastAsia="仿宋_GB2312" w:cs="Times New Roman"/>
          <w:sz w:val="32"/>
          <w:szCs w:val="32"/>
        </w:rPr>
        <w:t>张。养老机构</w:t>
      </w:r>
      <w:r>
        <w:rPr>
          <w:rFonts w:hint="eastAsia" w:ascii="Times New Roman" w:hAnsi="Times New Roman" w:eastAsia="仿宋_GB2312" w:cs="Times New Roman"/>
          <w:sz w:val="32"/>
          <w:szCs w:val="32"/>
          <w:lang w:val="en-US" w:eastAsia="zh-CN"/>
        </w:rPr>
        <w:t>护理型床</w:t>
      </w:r>
      <w:r>
        <w:rPr>
          <w:rFonts w:hint="default" w:ascii="Times New Roman" w:hAnsi="Times New Roman" w:eastAsia="仿宋_GB2312" w:cs="Times New Roman"/>
          <w:sz w:val="32"/>
          <w:szCs w:val="32"/>
        </w:rPr>
        <w:t>位</w:t>
      </w:r>
      <w:r>
        <w:rPr>
          <w:rFonts w:hint="eastAsia" w:ascii="Times New Roman" w:hAnsi="Times New Roman" w:eastAsia="仿宋_GB2312" w:cs="Times New Roman"/>
          <w:sz w:val="32"/>
          <w:szCs w:val="32"/>
          <w:lang w:val="en-US" w:eastAsia="zh-CN"/>
        </w:rPr>
        <w:t>384</w:t>
      </w:r>
      <w:r>
        <w:rPr>
          <w:rFonts w:hint="default" w:ascii="Times New Roman" w:hAnsi="Times New Roman" w:eastAsia="仿宋_GB2312" w:cs="Times New Roman"/>
          <w:sz w:val="32"/>
          <w:szCs w:val="32"/>
        </w:rPr>
        <w:t>张，占机构床位数的</w:t>
      </w:r>
      <w:r>
        <w:rPr>
          <w:rFonts w:hint="eastAsia" w:ascii="Times New Roman" w:hAnsi="Times New Roman" w:eastAsia="仿宋_GB2312" w:cs="Times New Roman"/>
          <w:sz w:val="32"/>
          <w:szCs w:val="32"/>
          <w:lang w:val="en-US" w:eastAsia="zh-CN"/>
        </w:rPr>
        <w:t>65.86</w:t>
      </w:r>
      <w:r>
        <w:rPr>
          <w:rFonts w:hint="default" w:ascii="Times New Roman" w:hAnsi="Times New Roman" w:eastAsia="仿宋_GB2312" w:cs="Times New Roman"/>
          <w:sz w:val="32"/>
          <w:szCs w:val="32"/>
        </w:rPr>
        <w:t>％。养老院服务质量专项行动成效显著，运营管理和服务水平不断提升。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基本养老服务更加健全。</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周岁以上</w:t>
      </w:r>
      <w:r>
        <w:rPr>
          <w:rFonts w:hint="default" w:ascii="Times New Roman" w:hAnsi="Times New Roman" w:eastAsia="仿宋_GB2312" w:cs="Times New Roman"/>
          <w:sz w:val="32"/>
          <w:szCs w:val="32"/>
          <w:lang w:val="en-US" w:eastAsia="zh-CN"/>
        </w:rPr>
        <w:t>困难</w:t>
      </w:r>
      <w:r>
        <w:rPr>
          <w:rFonts w:hint="default" w:ascii="Times New Roman" w:hAnsi="Times New Roman" w:eastAsia="仿宋_GB2312" w:cs="Times New Roman"/>
          <w:sz w:val="32"/>
          <w:szCs w:val="32"/>
        </w:rPr>
        <w:t>老年人免费提供居家养老上门服务，</w:t>
      </w:r>
      <w:r>
        <w:rPr>
          <w:rFonts w:hint="default" w:ascii="Times New Roman" w:hAnsi="Times New Roman" w:eastAsia="仿宋_GB2312" w:cs="Times New Roman"/>
          <w:sz w:val="32"/>
          <w:szCs w:val="32"/>
          <w:lang w:val="en-US" w:eastAsia="zh-CN"/>
        </w:rPr>
        <w:t>每年</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享受城乡高龄老人津贴的老年人购买意外伤害综合保险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加强公办机构的托底职能，面向独居、</w:t>
      </w:r>
      <w:r>
        <w:rPr>
          <w:rFonts w:hint="default" w:ascii="Times New Roman" w:hAnsi="Times New Roman" w:eastAsia="仿宋_GB2312" w:cs="Times New Roman"/>
          <w:spacing w:val="-11"/>
          <w:sz w:val="32"/>
          <w:szCs w:val="32"/>
        </w:rPr>
        <w:t>空巢、留守、失能等特殊</w:t>
      </w:r>
      <w:r>
        <w:rPr>
          <w:rFonts w:hint="default" w:ascii="Times New Roman" w:hAnsi="Times New Roman" w:eastAsia="仿宋_GB2312" w:cs="Times New Roman"/>
          <w:spacing w:val="-11"/>
          <w:sz w:val="32"/>
          <w:szCs w:val="32"/>
          <w:lang w:val="en-US" w:eastAsia="zh-CN"/>
        </w:rPr>
        <w:t>困难</w:t>
      </w:r>
      <w:r>
        <w:rPr>
          <w:rFonts w:hint="default" w:ascii="Times New Roman" w:hAnsi="Times New Roman" w:eastAsia="仿宋_GB2312" w:cs="Times New Roman"/>
          <w:spacing w:val="-11"/>
          <w:sz w:val="32"/>
          <w:szCs w:val="32"/>
        </w:rPr>
        <w:t>老年人定期上门开展探访和帮扶服务。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要素支撑体系更加完善</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发展智慧养老服务平台建设，打造“互联网+养老”服务新模式，稳步推进“</w:t>
      </w:r>
      <w:r>
        <w:rPr>
          <w:rFonts w:hint="default" w:ascii="Times New Roman" w:hAnsi="Times New Roman" w:eastAsia="仿宋_GB2312" w:cs="Times New Roman"/>
          <w:sz w:val="32"/>
          <w:szCs w:val="32"/>
          <w:lang w:val="en-US" w:eastAsia="zh-CN"/>
        </w:rPr>
        <w:t>智慧养老</w:t>
      </w:r>
      <w:r>
        <w:rPr>
          <w:rFonts w:hint="default" w:ascii="Times New Roman" w:hAnsi="Times New Roman" w:eastAsia="仿宋_GB2312" w:cs="Times New Roman"/>
          <w:sz w:val="32"/>
          <w:szCs w:val="32"/>
        </w:rPr>
        <w:t>”平台项目</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提升养老服务的精细化和精准度。汇聚线上线下资源，精准对接需求与供给。全面推进养老服务审核审批事项网上办理，实现老年人享受意外伤害保险“零次跑”。加强养老服务人才队伍建设，加大养老服务从业人员激励，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共有机构服务人员</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名、居家服务人员</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名，岗前培训率和持证上岗率达到95％以上</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仿宋_GB2312" w:cs="Times New Roman"/>
          <w:b/>
          <w:bCs/>
          <w:sz w:val="32"/>
          <w:szCs w:val="32"/>
        </w:rPr>
        <w:t>养老服务市场活力增强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社会力量参与养老服务发展的积极性不断增强</w:t>
      </w:r>
      <w:r>
        <w:rPr>
          <w:rFonts w:hint="default" w:ascii="Times New Roman" w:hAnsi="Times New Roman" w:eastAsia="仿宋_GB2312" w:cs="Times New Roman"/>
          <w:sz w:val="32"/>
          <w:szCs w:val="32"/>
          <w:lang w:eastAsia="zh-CN"/>
        </w:rPr>
        <w:t>。养老机构</w:t>
      </w:r>
      <w:r>
        <w:rPr>
          <w:rFonts w:hint="eastAsia" w:ascii="Times New Roman" w:hAnsi="Times New Roman" w:eastAsia="仿宋_GB2312" w:cs="Times New Roman"/>
          <w:sz w:val="32"/>
          <w:szCs w:val="32"/>
          <w:lang w:val="en-US" w:eastAsia="zh-CN"/>
        </w:rPr>
        <w:t>护理型床位占总床位的65.86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lang w:val="en-US" w:eastAsia="zh-CN"/>
        </w:rPr>
        <w:t>社区日间照料</w:t>
      </w:r>
      <w:r>
        <w:rPr>
          <w:rFonts w:hint="default" w:ascii="Times New Roman" w:hAnsi="Times New Roman" w:eastAsia="仿宋_GB2312" w:cs="Times New Roman"/>
          <w:sz w:val="32"/>
          <w:szCs w:val="32"/>
          <w:lang w:eastAsia="zh-CN"/>
        </w:rPr>
        <w:t>中心通过服务站点委托管理、服务项目协议外包等方式，</w:t>
      </w:r>
      <w:r>
        <w:rPr>
          <w:rFonts w:hint="default" w:ascii="Times New Roman" w:hAnsi="Times New Roman" w:eastAsia="仿宋_GB2312" w:cs="Times New Roman"/>
          <w:sz w:val="32"/>
          <w:szCs w:val="32"/>
        </w:rPr>
        <w:t>以老年生活照料、辅具用品、健康服务、文体教育、旅游娱乐等为主的养老服务业迅速发展，在服务业中的比重显著提升。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时期养老服务</w:t>
      </w:r>
      <w:r>
        <w:rPr>
          <w:rFonts w:hint="default" w:ascii="Times New Roman" w:hAnsi="Times New Roman" w:eastAsia="黑体" w:cs="Times New Roman"/>
          <w:sz w:val="32"/>
          <w:szCs w:val="32"/>
        </w:rPr>
        <w:t>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主要指标完成情况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825"/>
        <w:gridCol w:w="930"/>
        <w:gridCol w:w="1276"/>
        <w:gridCol w:w="869"/>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主要指标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w:t>
            </w:r>
            <w:r>
              <w:rPr>
                <w:rFonts w:hint="eastAsia" w:ascii="Times New Roman" w:hAnsi="Times New Roman" w:eastAsia="黑体" w:cs="Times New Roman"/>
                <w:vertAlign w:val="baseline"/>
                <w:lang w:val="en-US" w:eastAsia="zh-CN"/>
              </w:rPr>
              <w:t>4</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2025年</w:t>
            </w:r>
            <w:r>
              <w:rPr>
                <w:rFonts w:hint="eastAsia" w:ascii="Times New Roman" w:hAnsi="Times New Roman" w:eastAsia="黑体" w:cs="Times New Roman"/>
                <w:vertAlign w:val="baseline"/>
                <w:lang w:val="en-US" w:eastAsia="zh-CN"/>
              </w:rPr>
              <w:t>完成值</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属性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老年人福利</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生活不能自理特困人员集中供养率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有集中供养意愿的特困人员集中供养率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特困困难老年人月探访率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居家社区养老</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新建居住（小）区养老服务设施配件率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乡镇范围具有综合服务功能的养老服务机构覆盖率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机构养老</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护理型床位占比</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38%</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具备医养结合服务能力（医养结合机构或与医疗机构签订合作协议）的养老机构占比</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74%</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养老服务人才</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养老机构护理人员培训率</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社会工作者与老年人比例</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1/1000以上</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老年教育</w:t>
            </w:r>
          </w:p>
        </w:tc>
        <w:tc>
          <w:tcPr>
            <w:tcW w:w="3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建有老年大学分校（老年学校）</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80%</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已完成</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尽管“十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五”时期我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养老服务发展取得了显著成绩，但与未来的发展形势相比，仍存在一些问题，主要表现在：养老服务城乡发展不均衡，养老服务有效供给不足，养老服务质量不高，</w:t>
      </w:r>
      <w:r>
        <w:rPr>
          <w:rFonts w:hint="default" w:ascii="Times New Roman" w:hAnsi="Times New Roman" w:eastAsia="仿宋_GB2312" w:cs="Times New Roman"/>
          <w:sz w:val="32"/>
          <w:szCs w:val="32"/>
          <w:lang w:val="en-US" w:eastAsia="zh-CN"/>
        </w:rPr>
        <w:t>机构养老入住率较低，</w:t>
      </w:r>
      <w:r>
        <w:rPr>
          <w:rFonts w:hint="default" w:ascii="Times New Roman" w:hAnsi="Times New Roman" w:eastAsia="仿宋_GB2312" w:cs="Times New Roman"/>
          <w:sz w:val="32"/>
          <w:szCs w:val="32"/>
        </w:rPr>
        <w:t>供需结构性矛盾比较突出，养老服务队伍专业化水平整体不高，养老服务产业化程度不高，养老服务市场活力尚未充分激发等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bCs/>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发展背景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“十四五”时期实现养老服务高质量发展的挑战性和复杂性进一步增强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老龄化快速发展带来新挑战。人口老龄化总体呈现基数大、增速快的特征。</w:t>
      </w:r>
      <w:r>
        <w:rPr>
          <w:rFonts w:hint="default" w:ascii="Times New Roman" w:hAnsi="Times New Roman" w:eastAsia="仿宋_GB2312" w:cs="Times New Roman"/>
          <w:sz w:val="32"/>
          <w:szCs w:val="32"/>
          <w:lang w:val="en-US" w:eastAsia="zh-CN"/>
        </w:rPr>
        <w:t>截止202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年底，利通区辖4乡8镇，28个城镇社区，106个行政村，2个场办，总人口4</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val="en-US" w:eastAsia="zh-CN"/>
        </w:rPr>
        <w:t>万人，其中60岁以上的老年人口6.1万人，占总人口数的13.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rPr>
        <w:t>60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69岁的老年人为</w:t>
      </w:r>
      <w:r>
        <w:rPr>
          <w:rFonts w:hint="default" w:ascii="Times New Roman" w:hAnsi="Times New Roman" w:eastAsia="仿宋_GB2312" w:cs="Times New Roman"/>
          <w:color w:val="000000"/>
          <w:sz w:val="32"/>
          <w:szCs w:val="32"/>
          <w:lang w:val="en-US" w:eastAsia="zh-CN"/>
        </w:rPr>
        <w:t>36379</w:t>
      </w:r>
      <w:r>
        <w:rPr>
          <w:rFonts w:hint="default" w:ascii="Times New Roman" w:hAnsi="Times New Roman" w:eastAsia="仿宋_GB2312" w:cs="Times New Roman"/>
          <w:color w:val="000000"/>
          <w:sz w:val="32"/>
          <w:szCs w:val="32"/>
        </w:rPr>
        <w:t>人，占老年人总数的</w:t>
      </w:r>
      <w:r>
        <w:rPr>
          <w:rFonts w:hint="default" w:ascii="Times New Roman" w:hAnsi="Times New Roman" w:eastAsia="仿宋_GB2312" w:cs="Times New Roman"/>
          <w:color w:val="000000"/>
          <w:sz w:val="32"/>
          <w:szCs w:val="32"/>
          <w:lang w:val="en-US" w:eastAsia="zh-CN"/>
        </w:rPr>
        <w:t>61.6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70-79</w:t>
      </w:r>
      <w:r>
        <w:rPr>
          <w:rFonts w:hint="default" w:ascii="Times New Roman" w:hAnsi="Times New Roman" w:eastAsia="仿宋_GB2312" w:cs="Times New Roman"/>
          <w:color w:val="000000"/>
          <w:sz w:val="32"/>
          <w:szCs w:val="32"/>
        </w:rPr>
        <w:t>岁的老年人为</w:t>
      </w:r>
      <w:r>
        <w:rPr>
          <w:rFonts w:hint="default" w:ascii="Times New Roman" w:hAnsi="Times New Roman" w:eastAsia="仿宋_GB2312" w:cs="Times New Roman"/>
          <w:color w:val="000000"/>
          <w:sz w:val="32"/>
          <w:szCs w:val="32"/>
          <w:lang w:val="en-US" w:eastAsia="zh-CN"/>
        </w:rPr>
        <w:t>17848</w:t>
      </w:r>
      <w:r>
        <w:rPr>
          <w:rFonts w:hint="default" w:ascii="Times New Roman" w:hAnsi="Times New Roman" w:eastAsia="仿宋_GB2312" w:cs="Times New Roman"/>
          <w:color w:val="000000"/>
          <w:sz w:val="32"/>
          <w:szCs w:val="32"/>
        </w:rPr>
        <w:t>人，占老年人总数的</w:t>
      </w:r>
      <w:r>
        <w:rPr>
          <w:rFonts w:hint="eastAsia" w:ascii="Times New Roman" w:hAnsi="Times New Roman" w:eastAsia="仿宋_GB2312" w:cs="Times New Roman"/>
          <w:color w:val="000000"/>
          <w:sz w:val="32"/>
          <w:szCs w:val="32"/>
          <w:lang w:val="en-US" w:eastAsia="zh-CN"/>
        </w:rPr>
        <w:t>29.25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80-89岁以上高龄老人4870人，90-99岁以上老人507人，100岁老人</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人，留守老人1879人，失能老人548人，城乡分散特困供养老年人60人残疾老人1874人，城乡困难老年人8055人。</w:t>
      </w:r>
      <w:r>
        <w:rPr>
          <w:rFonts w:hint="default" w:ascii="Times New Roman" w:hAnsi="Times New Roman" w:eastAsia="仿宋_GB2312" w:cs="Times New Roman"/>
          <w:sz w:val="32"/>
          <w:szCs w:val="32"/>
        </w:rPr>
        <w:t>据预测，到2025年，我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60周岁及以上户籍老人将超过</w:t>
      </w: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万人。同时，家庭照护能力下降势必需要社会养老服务补位，建设高质量养老服务体系任务十分紧迫老年人需求升级带来新挑战。老年人需求结构已经从生存型向发展型转变，从简单的生活照料向多层次、多样化、个性化转变，从被动接受服务向主动参与服务转变，老年人越来越追求物质的高品质、精神的高品位、社会生活的高度参与大量低龄健康老年人人力资源开发仍具有丰富潜力，亟需搭建发挥作用的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供给侧改革和国内大循环带来新机遇。巨大的老年人口背后蕴藏着庞大的消费潜力，孕育了大量的产业机会，“银发经济”是未来经济的重要增长点养老服务是推行普惠数字服务的重点领域，也是乡村振兴的重要抓手。顺应人民群众对老有所养、老有颐养的期盼，围绕基本养老服务做足文章，力争“十</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val="en-US" w:eastAsia="zh-CN"/>
        </w:rPr>
        <w:t>期间</w:t>
      </w:r>
      <w:r>
        <w:rPr>
          <w:rFonts w:hint="default" w:ascii="Times New Roman" w:hAnsi="Times New Roman" w:eastAsia="仿宋_GB2312" w:cs="Times New Roman"/>
          <w:sz w:val="32"/>
          <w:szCs w:val="32"/>
        </w:rPr>
        <w:t>，率先建成全覆盖、保基本、多形式、可持续的养老服务体系</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、规划背景</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随着人口老龄化程度的不断加深，养老服务已成为社会关注的焦点。利通区</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积极应对人口老龄化，致力于构建更加完善的养老服务体系。“十五五”时期是我国全面建设社会主义现代化国家的关键时期，也是利通区养老服务体系建设实现高质量发展的重要阶段。为满足老年人日益增长的多样化、多层次养老服务需求，依据国家、自治区和市关于养老服务的相关政策法规，结合利通区实际情况，特制定本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、现状分析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（一）取得的成绩</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服务设施逐步完善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通过新建、改建、扩建等方式，增加了一批养老服务设施，如社区日间照料中心、农村老年饭桌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社区老年人助餐点、社区养老服务站</w:t>
      </w:r>
      <w:r>
        <w:rPr>
          <w:rFonts w:hint="eastAsia" w:ascii="仿宋_GB2312" w:hAnsi="仿宋_GB2312" w:eastAsia="仿宋_GB2312" w:cs="仿宋_GB2312"/>
          <w:sz w:val="32"/>
          <w:szCs w:val="32"/>
        </w:rPr>
        <w:t>等，初步构建了居家社区机构相协调的养老服务设施网络。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服务内容日益丰富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除基本生活照料服务外，还拓展了康复护理、精神慰藉、文化娱乐等多样化服务项目，满足了老年人不同层次的需求。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医养结合稳步推进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部分养老机构与医疗机构建立了合作关系，通过设立医务室、签约服务等形式，为老年人提供便捷的医疗服务，医养结合服务模式逐渐形成。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政策支持不断加强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出台了一系列促进养老服务发展的政策文件，在资金扶持、土地供应、税费减免等方面给予优惠，为养老服务体系建设提供了有力保障。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服务设施布局不均衡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城市和农村之间、不同社区之间养老服务设施分布存在差异，部分区域设施短缺，不能满足老年人就近就便享受服务的需求。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服务质量有待提高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部分养老服务机构专业人才不足，服务标准不统一，服务质量参差不齐，难以满足老年人对高品质养老服务的期望。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医养结合深度不够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虽然医养结合取得一定进展，但在服务衔接、信息共享、医保政策支持等方面还存在障碍，尚未形成成熟高效的医养结合服务机制。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社会力量参与不足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养老服务领域对社会资本的吸引力还不够强，社会力量参与养老服务的积极性有待进一步提高，多元化的养老服务供给格局尚未完全形成。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和二十届二中、三中全会精神，坚持以人民为中心的发展思想，积极应对人口老龄化，按照政府引导、社会参与、市场驱动、统筹发展的原则，着力构建居家社区机构相协调、医养康养相结合的养老服务体系，不断提升养老服务质量和水平，让老年人共享改革发展成果，安享幸福晚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以人为本原则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以满足老年人的需求为出发点和落脚点，关注老年人的身心健康和生活质量，提供个性化、多样化、专业化的养老服务。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政府主导原则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强化政府在养老服务体系建设中的主导作用，加大政策支持和资金投入力度，统筹规划、协调推进养老服务各项工作。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社会参与原则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充分调动社会力量参与养老服务的积极性，鼓励社会资本投入养老服务领域，形成政府、社会、家庭共同参与的养老服务格局。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创新发展原则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积极探索养老服务新模式、新机制、新方法，推动养老服务与互联网、人工智能、大数据等信息技术深度融合，提升养老服务的智能化、信息化水平。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 统筹协调原则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统筹城乡养老服务发展，促进区域之间、不同类型养老服务机构之间的协调发展，实现养老服务资源的优化配置。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到2027年，利通区、乡镇、村（社区）三级养老服务网络初步形成，养老服务资源结构更加合理，优质养老资源供给明显增强，城市社区养老服务设施实现全覆盖，乡镇范围具有综合服务功能的综合养老服务中心覆盖率达到70%，养老机构入住率提升到45%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到2030年，三级养老服务网络不断完善，服务供给与需求加快协调适配，城市社区养老服务设施布局更加合理，乡镇范围具有综合服务功能的综合养老服务中心覆盖率达到80%，养老机构入住率提升到50%。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时期养老服务</w:t>
      </w:r>
      <w:r>
        <w:rPr>
          <w:rFonts w:hint="default" w:ascii="Times New Roman" w:hAnsi="Times New Roman" w:eastAsia="黑体" w:cs="Times New Roman"/>
          <w:sz w:val="32"/>
          <w:szCs w:val="32"/>
        </w:rPr>
        <w:t>体系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主要指标</w:t>
      </w:r>
    </w:p>
    <w:tbl>
      <w:tblPr>
        <w:tblStyle w:val="10"/>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157"/>
        <w:gridCol w:w="990"/>
        <w:gridCol w:w="1170"/>
        <w:gridCol w:w="93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主要指标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w:t>
            </w:r>
            <w:r>
              <w:rPr>
                <w:rFonts w:hint="eastAsia" w:ascii="Times New Roman" w:hAnsi="Times New Roman" w:eastAsia="黑体" w:cs="Times New Roman"/>
                <w:vertAlign w:val="baseline"/>
                <w:lang w:val="en-US" w:eastAsia="zh-CN"/>
              </w:rPr>
              <w:t>6</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202</w:t>
            </w:r>
            <w:r>
              <w:rPr>
                <w:rFonts w:hint="eastAsia" w:ascii="Times New Roman" w:hAnsi="Times New Roman" w:eastAsia="黑体" w:cs="Times New Roman"/>
                <w:vertAlign w:val="baseline"/>
                <w:lang w:val="en-US" w:eastAsia="zh-CN"/>
              </w:rPr>
              <w:t>7</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20</w:t>
            </w:r>
            <w:r>
              <w:rPr>
                <w:rFonts w:hint="eastAsia" w:ascii="Times New Roman" w:hAnsi="Times New Roman" w:eastAsia="黑体" w:cs="Times New Roman"/>
                <w:vertAlign w:val="baseline"/>
                <w:lang w:val="en-US" w:eastAsia="zh-CN"/>
              </w:rPr>
              <w:t>30</w:t>
            </w:r>
            <w:r>
              <w:rPr>
                <w:rFonts w:hint="default" w:ascii="Times New Roman" w:hAnsi="Times New Roman" w:eastAsia="黑体" w:cs="Times New Roman"/>
                <w:vertAlign w:val="baseline"/>
                <w:lang w:val="en-US" w:eastAsia="zh-CN"/>
              </w:rPr>
              <w:t>年</w:t>
            </w:r>
            <w:r>
              <w:rPr>
                <w:rFonts w:hint="eastAsia" w:ascii="Times New Roman" w:hAnsi="Times New Roman" w:eastAsia="黑体" w:cs="Times New Roman"/>
                <w:vertAlign w:val="baseline"/>
                <w:lang w:val="en-US" w:eastAsia="zh-CN"/>
              </w:rPr>
              <w:t>目标值</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属性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vertAlign w:val="baseline"/>
                <w:lang w:val="en-US" w:eastAsia="zh-CN"/>
              </w:rPr>
            </w:pPr>
            <w:r>
              <w:rPr>
                <w:rFonts w:hint="eastAsia" w:ascii="Times New Roman" w:hAnsi="Times New Roman" w:eastAsia="黑体" w:cs="Times New Roman"/>
                <w:vertAlign w:val="baseline"/>
                <w:lang w:val="en-US" w:eastAsia="zh-CN"/>
              </w:rPr>
              <w:t>责任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老年人福利</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生活不能自理特困人员集中供养率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60</w:t>
            </w: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65</w:t>
            </w:r>
            <w:r>
              <w:rPr>
                <w:rFonts w:hint="default" w:ascii="Times New Roman" w:hAnsi="Times New Roman" w:cs="Times New Roman"/>
                <w:vertAlign w:val="baseline"/>
                <w:lang w:val="en-US" w:eastAsia="zh-CN"/>
              </w:rPr>
              <w:t>%</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有集中供养意愿的特困人员集中供养率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居家社区养老</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社区养老服务设施覆盖率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乡镇范围具有综合服务功能的养老服务机构覆盖率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70</w:t>
            </w:r>
            <w:r>
              <w:rPr>
                <w:rFonts w:hint="default" w:ascii="Times New Roman" w:hAnsi="Times New Roman" w:cs="Times New Roman"/>
                <w:vertAlign w:val="baseline"/>
                <w:lang w:val="en-US" w:eastAsia="zh-CN"/>
              </w:rPr>
              <w:t>%</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8</w:t>
            </w:r>
            <w:r>
              <w:rPr>
                <w:rFonts w:hint="default" w:ascii="Times New Roman" w:hAnsi="Times New Roman" w:cs="Times New Roman"/>
                <w:vertAlign w:val="baseline"/>
                <w:lang w:val="en-US" w:eastAsia="zh-CN"/>
              </w:rPr>
              <w:t>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预期性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机构养老</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养老机构入住率提升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45</w:t>
            </w:r>
            <w:r>
              <w:rPr>
                <w:rFonts w:hint="default" w:ascii="Times New Roman" w:hAnsi="Times New Roman" w:cs="Times New Roman"/>
                <w:vertAlign w:val="baseline"/>
                <w:lang w:val="en-US" w:eastAsia="zh-CN"/>
              </w:rPr>
              <w:t>%</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养老机构具备医养结合服务能力（医养结合机构或与医疗机构签订合作协议）</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80%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w:t>
            </w:r>
          </w:p>
        </w:tc>
        <w:tc>
          <w:tcPr>
            <w:tcW w:w="9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vertAlign w:val="baseline"/>
                <w:lang w:val="en-US" w:eastAsia="zh-CN"/>
              </w:rPr>
              <w:t>约束性</w:t>
            </w:r>
          </w:p>
        </w:tc>
        <w:tc>
          <w:tcPr>
            <w:tcW w:w="10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区民政局区卫健局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养老服务人才</w:t>
            </w: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养老机构护理人员培训率</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p>
        </w:tc>
        <w:tc>
          <w:tcPr>
            <w:tcW w:w="31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社会工作者与老年人比例</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w:t>
            </w:r>
            <w:r>
              <w:rPr>
                <w:rFonts w:hint="default" w:ascii="Times New Roman" w:hAnsi="Times New Roman" w:cs="Times New Roman"/>
                <w:vertAlign w:val="baseline"/>
                <w:lang w:val="en-US" w:eastAsia="zh-CN"/>
              </w:rPr>
              <w:t>/1000以上</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w:t>
            </w:r>
            <w:r>
              <w:rPr>
                <w:rFonts w:hint="default" w:ascii="Times New Roman" w:hAnsi="Times New Roman" w:cs="Times New Roman"/>
                <w:vertAlign w:val="baseline"/>
                <w:lang w:val="en-US" w:eastAsia="zh-CN"/>
              </w:rPr>
              <w:t>/1000以上</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约束性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区委社工部</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、主要任务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（一）加强养老服务设施建设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 完善城乡社区养老服务设施布局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按照人均用地不少于0.1平方米的标准，分区分级规划设置养老服务设施。在城市，结合老旧小区改造和新建住宅小区建设，确保配套建设养老服务设施，实现每百户居民拥有社区综合服务设施面积不低于30平方米。在农村，加强乡镇农村区域性养老服务</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建设，提升其服务功能和辐射范围，推动村级</w:t>
      </w:r>
      <w:r>
        <w:rPr>
          <w:rFonts w:hint="eastAsia" w:ascii="仿宋_GB2312" w:hAnsi="仿宋_GB2312" w:eastAsia="仿宋_GB2312" w:cs="仿宋_GB2312"/>
          <w:sz w:val="32"/>
          <w:szCs w:val="32"/>
          <w:lang w:val="en-US" w:eastAsia="zh-CN"/>
        </w:rPr>
        <w:t>养老服务设施</w:t>
      </w:r>
      <w:r>
        <w:rPr>
          <w:rFonts w:hint="eastAsia" w:ascii="仿宋_GB2312" w:hAnsi="仿宋_GB2312" w:eastAsia="仿宋_GB2312" w:cs="仿宋_GB2312"/>
          <w:sz w:val="32"/>
          <w:szCs w:val="32"/>
        </w:rPr>
        <w:t>提质增效。</w:t>
      </w:r>
      <w:r>
        <w:rPr>
          <w:rFonts w:hint="eastAsia" w:ascii="仿宋_GB2312" w:hAnsi="仿宋_GB2312" w:eastAsia="仿宋_GB2312" w:cs="仿宋_GB2312"/>
          <w:sz w:val="32"/>
          <w:szCs w:val="32"/>
          <w:lang w:val="en-US" w:eastAsia="zh-CN"/>
        </w:rPr>
        <w:t>到2030年，新建改建8个社区养老服务设施、乡镇综合养老服务中心1个、农村老饭桌6个。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推进社区养老服务设施升级改造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积极争取自治区福彩公益金项目资金，</w:t>
      </w:r>
      <w:r>
        <w:rPr>
          <w:rFonts w:hint="eastAsia" w:ascii="仿宋_GB2312" w:hAnsi="仿宋_GB2312" w:eastAsia="仿宋_GB2312" w:cs="仿宋_GB2312"/>
          <w:sz w:val="32"/>
          <w:szCs w:val="32"/>
        </w:rPr>
        <w:t>对现有社区养老服务设施进行全面排查，根据老年人实际需求，进行适老化改造和功能提升。完善设施的无障碍设施建设，配备必要的生活照料、康复护理、文化娱乐等设备，打造舒适、便捷、安全的养老服务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建设专业化养老机构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鼓励社会力量投资建设一批专业化、规模化、连锁化的养老机构，重点发展护理型养老机构。支持养老机构开展康复护理、安宁疗护等特色服务，提高养老机构的服务质量和水平。加强养老机构标准化建设，推动养老机构服务质量等级评定工作，促进养老机构规范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（二）强化居家社区养老服务能力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1. 大力发展居家养老服务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建立居家养老服务网络，依托社区养老服务机构、社会组织和家政服务企业，为居家老年人</w:t>
      </w:r>
      <w:r>
        <w:rPr>
          <w:rFonts w:hint="eastAsia" w:ascii="仿宋_GB2312" w:hAnsi="仿宋_GB2312" w:eastAsia="仿宋_GB2312" w:cs="仿宋_GB2312"/>
          <w:color w:val="000000" w:themeColor="text1"/>
          <w:sz w:val="32"/>
          <w:szCs w:val="32"/>
          <w:lang w:eastAsia="zh-CN"/>
          <w14:textFill>
            <w14:solidFill>
              <w14:schemeClr w14:val="tx1"/>
            </w14:solidFill>
          </w14:textFill>
        </w:rPr>
        <w:t>、空巢老人</w:t>
      </w:r>
      <w:r>
        <w:rPr>
          <w:rFonts w:hint="eastAsia" w:ascii="仿宋_GB2312" w:hAnsi="仿宋_GB2312" w:eastAsia="仿宋_GB2312" w:cs="仿宋_GB2312"/>
          <w:color w:val="000000" w:themeColor="text1"/>
          <w:sz w:val="32"/>
          <w:szCs w:val="32"/>
          <w14:textFill>
            <w14:solidFill>
              <w14:schemeClr w14:val="tx1"/>
            </w14:solidFill>
          </w14:textFill>
        </w:rPr>
        <w:t>提供生活照料、助餐助浴、康复护理、精神慰藉等上门服务。推广家庭养老床位建设，将养老机构专业化服务延伸到家庭，为居家失能失智老年人提供更加便捷、专业的照护服务。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提升社区养老服务功能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社区养老服务机构建设，完善其全托、日托、上门服务、对下指导等综合功能。开展社区老年活动中心建设，组织开展丰富多彩的文化娱乐、教育培训、体育健身等活动，满足老年人的精神文化需求。建立社区养老服务信息平台，整合各类养老服务资源，为老年人提供便捷的服务信息查询和预约服务。</w:t>
      </w:r>
    </w:p>
    <w:p>
      <w:pPr>
        <w:keepNext w:val="0"/>
        <w:keepLines w:val="0"/>
        <w:pageBreakBefore w:val="0"/>
        <w:widowControl w:val="0"/>
        <w:kinsoku/>
        <w:wordWrap/>
        <w:overflowPunct/>
        <w:topLinePunct w:val="0"/>
        <w:autoSpaceDE/>
        <w:autoSpaceDN/>
        <w:bidi w:val="0"/>
        <w:adjustRightInd/>
        <w:snapToGrid/>
        <w:spacing w:line="560" w:lineRule="exact"/>
        <w:ind w:firstLine="658"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3. 推动居家社区养老服务融合发展</w:t>
      </w:r>
      <w:r>
        <w:rPr>
          <w:rFonts w:hint="eastAsia" w:ascii="仿宋_GB2312" w:hAnsi="仿宋_GB2312" w:eastAsia="仿宋_GB2312" w:cs="仿宋_GB2312"/>
          <w:b/>
          <w:bCs/>
          <w:spacing w:val="4"/>
          <w:sz w:val="32"/>
          <w:szCs w:val="32"/>
          <w:lang w:eastAsia="zh-CN"/>
        </w:rPr>
        <w:t>。</w:t>
      </w:r>
      <w:r>
        <w:rPr>
          <w:rFonts w:hint="eastAsia" w:ascii="仿宋_GB2312" w:hAnsi="仿宋_GB2312" w:eastAsia="仿宋_GB2312" w:cs="仿宋_GB2312"/>
          <w:spacing w:val="4"/>
          <w:sz w:val="32"/>
          <w:szCs w:val="32"/>
        </w:rPr>
        <w:t>建立居家、社区、机构之间的服务衔接机制，实现服务资源共享、优势互补。鼓励养老机构开展社区居家养老服务，支持社区养老服务机构承接养老机构的延伸服务，形成居家社区机构相协调的养老服务模式。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（三）深化医养康养结合服务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完善医养结合政策体系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民政、卫生健康、医保等部门之间的协调配合，制定完善医养结合相关政策，在医保报销、服务规范、人才培养等方面形成合力。推动医保政策向医养结合服务倾斜，将符合条件的医养结合服务项目纳入医保报销范围，提高老年人医养结合服务的可及性和可负担性。</w:t>
      </w:r>
    </w:p>
    <w:p>
      <w:pPr>
        <w:keepNext w:val="0"/>
        <w:keepLines w:val="0"/>
        <w:pageBreakBefore w:val="0"/>
        <w:widowControl w:val="0"/>
        <w:kinsoku/>
        <w:wordWrap/>
        <w:overflowPunct/>
        <w:topLinePunct w:val="0"/>
        <w:autoSpaceDE/>
        <w:autoSpaceDN/>
        <w:bidi w:val="0"/>
        <w:adjustRightInd/>
        <w:snapToGrid/>
        <w:spacing w:line="560" w:lineRule="exact"/>
        <w:ind w:firstLine="658"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2. 加强医养结合服务设施建设</w:t>
      </w:r>
      <w:r>
        <w:rPr>
          <w:rFonts w:hint="eastAsia" w:ascii="仿宋_GB2312" w:hAnsi="仿宋_GB2312" w:eastAsia="仿宋_GB2312" w:cs="仿宋_GB2312"/>
          <w:b/>
          <w:bCs/>
          <w:spacing w:val="4"/>
          <w:sz w:val="32"/>
          <w:szCs w:val="32"/>
          <w:lang w:eastAsia="zh-CN"/>
        </w:rPr>
        <w:t>。</w:t>
      </w:r>
      <w:r>
        <w:rPr>
          <w:rFonts w:hint="eastAsia" w:ascii="仿宋_GB2312" w:hAnsi="仿宋_GB2312" w:eastAsia="仿宋_GB2312" w:cs="仿宋_GB2312"/>
          <w:spacing w:val="4"/>
          <w:sz w:val="32"/>
          <w:szCs w:val="32"/>
        </w:rPr>
        <w:t>支持养老机构与医疗机构开展多种形式的合作，通过设立医务室、护理站、康复中心等方式，为老年人提供便捷的医疗服务。鼓励医疗机构开展养老服务，</w:t>
      </w:r>
      <w:r>
        <w:rPr>
          <w:rFonts w:hint="eastAsia" w:ascii="仿宋_GB2312" w:hAnsi="仿宋_GB2312" w:eastAsia="仿宋_GB2312" w:cs="仿宋_GB2312"/>
          <w:spacing w:val="4"/>
          <w:sz w:val="32"/>
          <w:szCs w:val="32"/>
          <w:lang w:eastAsia="zh-CN"/>
        </w:rPr>
        <w:t>探索建设老年康复门诊、安宁疗护门诊等医养结合机构</w:t>
      </w:r>
      <w:r>
        <w:rPr>
          <w:rFonts w:hint="eastAsia" w:ascii="仿宋_GB2312" w:hAnsi="仿宋_GB2312" w:eastAsia="仿宋_GB2312" w:cs="仿宋_GB2312"/>
          <w:spacing w:val="4"/>
          <w:sz w:val="32"/>
          <w:szCs w:val="32"/>
        </w:rPr>
        <w:t>。推动辖区内养老机构与医疗机构建立紧密合作机制，到</w:t>
      </w:r>
      <w:r>
        <w:rPr>
          <w:rFonts w:hint="eastAsia" w:ascii="仿宋_GB2312" w:hAnsi="仿宋_GB2312" w:eastAsia="仿宋_GB2312" w:cs="仿宋_GB2312"/>
          <w:spacing w:val="4"/>
          <w:sz w:val="32"/>
          <w:szCs w:val="32"/>
          <w:lang w:val="en-US" w:eastAsia="zh-CN"/>
        </w:rPr>
        <w:t>2027年</w:t>
      </w:r>
      <w:r>
        <w:rPr>
          <w:rFonts w:hint="eastAsia" w:ascii="仿宋_GB2312" w:hAnsi="仿宋_GB2312" w:eastAsia="仿宋_GB2312" w:cs="仿宋_GB2312"/>
          <w:spacing w:val="4"/>
          <w:sz w:val="32"/>
          <w:szCs w:val="32"/>
        </w:rPr>
        <w:t>，实现80%以上养老机构具备医养结合服务能力（医养结合机构或与医疗机构签订合作协议）。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提升医养结合服务能力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加强医养结合专业人才培养，通过院校教育、在职培训、继续教育等方式，培养一批既懂医疗又懂养老的复合型人才。建立医养结合服务质量监管机制，加强对医养结合服务机构的监督检查，确保服务质量和安全。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（四）加强养老服务人才队伍建设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加大人才培养力度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 xml:space="preserve">鼓励本地职业院校开设养老服务相关专业，加强养老服务专业学科建设。建立养老服务人才培训基地，开展养老服务从业人员职业技能培训和继续教育，提高其专业素质和服务水平。加强养老服务志愿者队伍建设，建立健全志愿者招募、培训、管理和激励机制，鼓励更多的社会力量参与养老服务。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提高人才待遇水平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完善养老服务人才职业发展通道，</w:t>
      </w:r>
      <w:r>
        <w:rPr>
          <w:rFonts w:hint="eastAsia" w:ascii="仿宋_GB2312" w:hAnsi="仿宋_GB2312" w:eastAsia="仿宋_GB2312" w:cs="仿宋_GB2312"/>
          <w:sz w:val="32"/>
          <w:szCs w:val="32"/>
          <w:lang w:eastAsia="zh-CN"/>
        </w:rPr>
        <w:t>探索养老服务人才职称评定制度</w:t>
      </w:r>
      <w:r>
        <w:rPr>
          <w:rFonts w:hint="eastAsia" w:ascii="仿宋_GB2312" w:hAnsi="仿宋_GB2312" w:eastAsia="仿宋_GB2312" w:cs="仿宋_GB2312"/>
          <w:sz w:val="32"/>
          <w:szCs w:val="32"/>
        </w:rPr>
        <w:t>，鼓励优秀人才从事养老服务工作。开展优秀养老服务人才评选表彰活动，增强养老服务从业人员的职业荣誉感和归属感。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优化人才发展环境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对养老服务人才的关心关爱，营造良好的人才发展环境。建立养老服务人才交流平台，促进人才之间的交流与合作。加强对养老服务行业的宣传引导，提高社会对养老服务工作的认知度和认可度，吸引更多的人才投身养老服务事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（五）推动养老服务产业发展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培育养老服务市场主体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大对养老服务企业的扶持力度，通过政策引导、资金支持、项目合作等方式，培育一批具有竞争力的养老服务企业和社会组织。鼓励养老服务企业开展连锁化、品牌化经营，提高市场占有率和服务质量。支持养老服务企业创新服务模式和产品，拓展服务领域和市场空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2. 促进养老服务产业融合发展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推动养老服务与医疗、健康、旅游、文化、体育等产业融合发展，培育养老新业态。</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w:t>
      </w:r>
      <w:r>
        <w:rPr>
          <w:rFonts w:hint="eastAsia" w:ascii="仿宋_GB2312" w:hAnsi="仿宋_GB2312" w:eastAsia="仿宋_GB2312" w:cs="仿宋_GB2312"/>
          <w:color w:val="000000" w:themeColor="text1"/>
          <w:sz w:val="32"/>
          <w:szCs w:val="32"/>
          <w14:textFill>
            <w14:solidFill>
              <w14:schemeClr w14:val="tx1"/>
            </w14:solidFill>
          </w14:textFill>
        </w:rPr>
        <w:t>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老年人力资源，以</w:t>
      </w:r>
      <w:r>
        <w:rPr>
          <w:rFonts w:hint="eastAsia" w:ascii="仿宋_GB2312" w:hAnsi="仿宋_GB2312" w:eastAsia="仿宋_GB2312" w:cs="仿宋_GB2312"/>
          <w:color w:val="000000" w:themeColor="text1"/>
          <w:sz w:val="32"/>
          <w:szCs w:val="32"/>
          <w14:textFill>
            <w14:solidFill>
              <w14:schemeClr w14:val="tx1"/>
            </w14:solidFill>
          </w14:textFill>
        </w:rPr>
        <w:t>老年旅游、老年文化、老年体育等特色产品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为重点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发展银发经济，</w:t>
      </w:r>
      <w:r>
        <w:rPr>
          <w:rFonts w:hint="eastAsia" w:ascii="仿宋_GB2312" w:hAnsi="仿宋_GB2312" w:eastAsia="仿宋_GB2312" w:cs="仿宋_GB2312"/>
          <w:color w:val="000000" w:themeColor="text1"/>
          <w:sz w:val="32"/>
          <w:szCs w:val="32"/>
          <w14:textFill>
            <w14:solidFill>
              <w14:schemeClr w14:val="tx1"/>
            </w14:solidFill>
          </w14:textFill>
        </w:rPr>
        <w:t>满足老年人多样化的消费需求。加强养老服务产业园区建设，打造集养老服务、产品研发、生产销售、人才培训于一体的产业集群</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，以业态融合为重点扩大养老消费体验</w:t>
      </w:r>
      <w:r>
        <w:rPr>
          <w:rFonts w:hint="eastAsia" w:ascii="仿宋_GB2312" w:hAnsi="仿宋_GB2312" w:eastAsia="仿宋_GB2312" w:cs="仿宋_GB2312"/>
          <w:color w:val="000000" w:themeColor="text1"/>
          <w:sz w:val="32"/>
          <w:szCs w:val="32"/>
          <w14:textFill>
            <w14:solidFill>
              <w14:schemeClr w14:val="tx1"/>
            </w14:solidFill>
          </w14:textFill>
        </w:rPr>
        <w:t>。到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2027年</w:t>
      </w:r>
      <w:r>
        <w:rPr>
          <w:rFonts w:hint="eastAsia" w:ascii="仿宋_GB2312" w:hAnsi="仿宋_GB2312" w:eastAsia="仿宋_GB2312" w:cs="仿宋_GB2312"/>
          <w:color w:val="000000" w:themeColor="text1"/>
          <w:sz w:val="32"/>
          <w:szCs w:val="32"/>
          <w14:textFill>
            <w14:solidFill>
              <w14:schemeClr w14:val="tx1"/>
            </w14:solidFill>
          </w14:textFill>
        </w:rPr>
        <w:t>，打造出3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5个具有利通区特色的养老产业融合项目，丰富养老服务产业形态，满足老年人多元化需求。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加强养老服务产业监管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健全养老服务产业监管机制，加强对养老服务企业和机构的监督管理。规范养老服务市场秩序，打击侵害老年人合法权益的行为。加强养老服务行业自律，推动养老服务行业诚信建设，营造公平竞争、规范有序的市场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（六）健全养老服务综合监管制度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加强日常监督管理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养老服务机构日常巡查制度，加强对养老服务机构的服务质量、安全管理、人员配备等方面的监督检查。建立健全养老服务机构信息公开制度，定期向社会公布养老服务机构的基本信息、服务内容、收费标准等，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强化安全风险防控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加强养老服务机构安全管理，建立健全安全管理制度和应急预案，加强对消防、食品、设施设备等方面的安全隐患排查治理。开展养老服务机构安全培训和演练，提高从业人员的安全意识和应急处置能力。加强对养老服务机构的风险管理，推动养老服务机构购买责任保险，降低运营风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建立联合监管机制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建立民政、市场监管、卫生健康、应急管理、消防等部门之间的联合监管机制，加强部门之间的信息共享和协同配合。开展联合执法行动，严厉打击养老服务领域的违法违规行为，维护老年人的合法权益。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利通区养老服务体系建设工作领导小组，由区政府主要领导任组长，相关部门负责人为成员，负责统筹协调全区养老服务体系建设工作。领导小组下设办公室，设在区民政局，负责日常工作。各部门要高度重视养老服务体系建设工作，明确职责分工，加强协作配合，形成工作合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（二）加大资金投入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建立多元化的养老服务资金投入机制，加大政府财政投入力度，将养老服务体系建设资金纳入财政预算。</w:t>
      </w:r>
      <w:r>
        <w:rPr>
          <w:rFonts w:hint="eastAsia" w:ascii="仿宋_GB2312" w:hAnsi="仿宋_GB2312" w:eastAsia="仿宋_GB2312" w:cs="仿宋_GB2312"/>
          <w:sz w:val="32"/>
          <w:szCs w:val="32"/>
        </w:rPr>
        <w:t>积极争取上级资金支持，鼓励社会资本投入养老服务领域。加强对养老服务资金的管理和监督，确保资金使用安全、规范、高效。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（三）完善政策支持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全面落实国家、自治区和</w:t>
      </w:r>
      <w:r>
        <w:rPr>
          <w:rFonts w:hint="eastAsia" w:ascii="仿宋_GB2312" w:hAnsi="仿宋_GB2312" w:eastAsia="仿宋_GB2312" w:cs="仿宋_GB2312"/>
          <w:sz w:val="32"/>
          <w:szCs w:val="32"/>
          <w:lang w:val="en-US" w:eastAsia="zh-CN"/>
        </w:rPr>
        <w:t>吴忠</w:t>
      </w:r>
      <w:r>
        <w:rPr>
          <w:rFonts w:hint="eastAsia" w:ascii="仿宋_GB2312" w:hAnsi="仿宋_GB2312" w:eastAsia="仿宋_GB2312" w:cs="仿宋_GB2312"/>
          <w:sz w:val="32"/>
          <w:szCs w:val="32"/>
        </w:rPr>
        <w:t>市关于养老服务的各项优惠政策，在土地供应、税费减免、财政补贴、信贷支持等方面给予支持。制定出台利通区促进养老服务发展的具体政策措施，为养老服务体系建设提供政策保障。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（四）加强监督评估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养老服务体系建设监督评估机制，加强对规划实施情况的跟踪监测和评估。定期对养老服务机构的服务质量、运营管理等进行评估，及时发现问题并提出改进措施。将养老服务体系建设工作纳入政府绩效考核内容，对工作成绩突出的单位和个人给予表彰奖励，对工作不力的进行问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（五）强化宣传引导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2"/>
          <w:szCs w:val="32"/>
          <w:lang w:val="en-US" w:eastAsia="zh-CN"/>
        </w:rPr>
        <w:t>通过各类媒体，广泛宣传推进养老服务发展的重大意义，报道养老服务体系建设工作推进情况，积极引导社会舆论。各乡镇、各有关部门要广泛宣传养老服务相关政策，切实推进养老服务高质量发展，大力选拔养老服务领域涌现出的各级各类先进典型，按照国家和自治区有关规定进行表彰激励，形成家喻户晓、广泛参与的共建局面，大力营造养老、孝老、敬老社会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4395D"/>
    <w:rsid w:val="003279FE"/>
    <w:rsid w:val="00902C2A"/>
    <w:rsid w:val="07762B7A"/>
    <w:rsid w:val="0D8834BB"/>
    <w:rsid w:val="0F096081"/>
    <w:rsid w:val="0F0A215F"/>
    <w:rsid w:val="104E0658"/>
    <w:rsid w:val="15D83663"/>
    <w:rsid w:val="17B234EA"/>
    <w:rsid w:val="19360FEA"/>
    <w:rsid w:val="1C5F161A"/>
    <w:rsid w:val="1C905296"/>
    <w:rsid w:val="1CAA0148"/>
    <w:rsid w:val="1E0D1398"/>
    <w:rsid w:val="1ED36680"/>
    <w:rsid w:val="20376F75"/>
    <w:rsid w:val="20FF628F"/>
    <w:rsid w:val="21A460DD"/>
    <w:rsid w:val="23C12D07"/>
    <w:rsid w:val="25877012"/>
    <w:rsid w:val="2AA57EA2"/>
    <w:rsid w:val="2B0939D4"/>
    <w:rsid w:val="31B42AAB"/>
    <w:rsid w:val="3314395D"/>
    <w:rsid w:val="399349F1"/>
    <w:rsid w:val="3EF601C6"/>
    <w:rsid w:val="3F6C693A"/>
    <w:rsid w:val="44BF7CB0"/>
    <w:rsid w:val="45123747"/>
    <w:rsid w:val="45192C4A"/>
    <w:rsid w:val="455B6133"/>
    <w:rsid w:val="460D5750"/>
    <w:rsid w:val="477772D0"/>
    <w:rsid w:val="525938E2"/>
    <w:rsid w:val="52B23907"/>
    <w:rsid w:val="52EF1A26"/>
    <w:rsid w:val="5E7E6F52"/>
    <w:rsid w:val="642F1C4D"/>
    <w:rsid w:val="67921B03"/>
    <w:rsid w:val="68881CED"/>
    <w:rsid w:val="6E3F2E59"/>
    <w:rsid w:val="6EC6071D"/>
    <w:rsid w:val="70A73F27"/>
    <w:rsid w:val="794D2917"/>
    <w:rsid w:val="7A3B3191"/>
    <w:rsid w:val="7FA23A62"/>
    <w:rsid w:val="BF6F4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index 5"/>
    <w:basedOn w:val="1"/>
    <w:next w:val="1"/>
    <w:qFormat/>
    <w:uiPriority w:val="0"/>
    <w:pPr>
      <w:ind w:left="1680"/>
    </w:pPr>
  </w:style>
  <w:style w:type="paragraph" w:styleId="4">
    <w:name w:val="Body Text Indent"/>
    <w:basedOn w:val="1"/>
    <w:next w:val="3"/>
    <w:qFormat/>
    <w:uiPriority w:val="0"/>
    <w:pPr>
      <w:spacing w:after="120" w:afterLines="0" w:afterAutospacing="0"/>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next w:val="1"/>
    <w:qFormat/>
    <w:uiPriority w:val="0"/>
    <w:pPr>
      <w:spacing w:line="580" w:lineRule="exact"/>
      <w:ind w:left="0" w:leftChars="0" w:firstLine="1134"/>
    </w:pPr>
    <w:rPr>
      <w:rFonts w:hint="eastAsia" w:ascii="仿宋_GB2312" w:hAnsi="仿宋_GB2312" w:eastAsia="仿宋_GB2312"/>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7352</Words>
  <Characters>7669</Characters>
  <Lines>0</Lines>
  <Paragraphs>0</Paragraphs>
  <TotalTime>48</TotalTime>
  <ScaleCrop>false</ScaleCrop>
  <LinksUpToDate>false</LinksUpToDate>
  <CharactersWithSpaces>7709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2025-04-24T14:05:00Z</dcterms:created>
  <dc:creator>月常圆</dc:creator>
  <cp:lastModifiedBy>ltq</cp:lastModifiedBy>
  <cp:lastPrinted>2025-09-04T14:46:00Z</cp:lastPrinted>
  <dcterms:modified xsi:type="dcterms:W3CDTF">2026-01-28T17:54:22Z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8672ED1E0BCA4305B2EC97969A325C68_13</vt:lpwstr>
  </property>
  <property fmtid="{D5CDD505-2E9C-101B-9397-08002B2CF9AE}" pid="4" name="KSOTemplateDocerSaveRecord">
    <vt:lpwstr>eyJoZGlkIjoiMWRmNzBiOGZiYWM5OTVlMzQ2OGU1NTFjNGE1NDgzZDkiLCJ1c2VySWQiOiI3Mjk3NTIzODMifQ==</vt:lpwstr>
  </property>
</Properties>
</file>